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8F920" w14:textId="1E30EE10" w:rsidR="00D66156" w:rsidRDefault="00D66156" w:rsidP="004D054B">
      <w:pPr>
        <w:spacing w:line="480" w:lineRule="auto"/>
        <w:jc w:val="center"/>
        <w:rPr>
          <w:b/>
        </w:rPr>
      </w:pPr>
      <w:r>
        <w:rPr>
          <w:b/>
        </w:rPr>
        <w:t>ESPÉCIE</w:t>
      </w:r>
      <w:r w:rsidR="00E9009C">
        <w:rPr>
          <w:b/>
        </w:rPr>
        <w:t>S</w:t>
      </w:r>
      <w:r>
        <w:rPr>
          <w:b/>
        </w:rPr>
        <w:t xml:space="preserve"> INDICADORA</w:t>
      </w:r>
      <w:r w:rsidR="00E9009C">
        <w:rPr>
          <w:b/>
        </w:rPr>
        <w:t>S</w:t>
      </w:r>
      <w:r>
        <w:rPr>
          <w:b/>
        </w:rPr>
        <w:t xml:space="preserve"> D</w:t>
      </w:r>
      <w:r w:rsidR="00E9009C">
        <w:rPr>
          <w:b/>
        </w:rPr>
        <w:t>E RESÍDUOS DE</w:t>
      </w:r>
      <w:r>
        <w:rPr>
          <w:b/>
        </w:rPr>
        <w:t xml:space="preserve"> SAFLUFENACIL</w:t>
      </w:r>
      <w:r w:rsidR="003108FE">
        <w:rPr>
          <w:b/>
        </w:rPr>
        <w:t xml:space="preserve"> EM SOLOS</w:t>
      </w:r>
    </w:p>
    <w:p w14:paraId="5629AB3C" w14:textId="463C3288" w:rsidR="007A1278" w:rsidRPr="00C90F4D" w:rsidRDefault="007A1278" w:rsidP="00A06E4F">
      <w:pPr>
        <w:spacing w:line="480" w:lineRule="auto"/>
        <w:jc w:val="center"/>
      </w:pPr>
      <w:r w:rsidRPr="00C90F4D">
        <w:t>INDICATORS SPECIES OF SAFLUFENACIL WASTE IN SOILS</w:t>
      </w:r>
    </w:p>
    <w:p w14:paraId="209A4553" w14:textId="3C8F2911" w:rsidR="00451708" w:rsidRPr="00C90F4D" w:rsidRDefault="00C90F4D" w:rsidP="00C90F4D">
      <w:pPr>
        <w:spacing w:line="480" w:lineRule="auto"/>
        <w:jc w:val="both"/>
      </w:pPr>
      <w:r w:rsidRPr="00D66156">
        <w:rPr>
          <w:b/>
        </w:rPr>
        <w:t>Resumo</w:t>
      </w:r>
      <w:r>
        <w:rPr>
          <w:b/>
        </w:rPr>
        <w:t xml:space="preserve"> </w:t>
      </w:r>
      <w:r>
        <w:t xml:space="preserve">- </w:t>
      </w:r>
      <w:r w:rsidR="00A33822">
        <w:t>Um d</w:t>
      </w:r>
      <w:r w:rsidR="00D0475F">
        <w:t>os</w:t>
      </w:r>
      <w:r w:rsidR="00A33822">
        <w:t xml:space="preserve"> </w:t>
      </w:r>
      <w:r w:rsidR="00D0475F">
        <w:t>métodos,</w:t>
      </w:r>
      <w:r w:rsidR="00A33822">
        <w:t xml:space="preserve"> </w:t>
      </w:r>
      <w:r w:rsidR="00D0475F">
        <w:t>eficientes e de baixo custo, para estimar a presença de herbicidas n</w:t>
      </w:r>
      <w:r w:rsidR="007255CA">
        <w:t>o</w:t>
      </w:r>
      <w:r w:rsidR="00D0475F">
        <w:t xml:space="preserve"> solo é</w:t>
      </w:r>
      <w:r w:rsidR="00EF0314">
        <w:t xml:space="preserve"> o</w:t>
      </w:r>
      <w:r w:rsidR="00D0475F">
        <w:t xml:space="preserve"> biológico. Entretanto, antes de se utilizar este </w:t>
      </w:r>
      <w:r w:rsidR="0052572D">
        <w:t>método é necessário identificar espécies que apresentam alta sensibilidade ao herbicida em estudo.</w:t>
      </w:r>
      <w:r w:rsidR="00765939">
        <w:t xml:space="preserve"> </w:t>
      </w:r>
      <w:r w:rsidR="0052572D">
        <w:t>Esta pesquisa teve como objetivo selecionar espécies que apresentem alta sensibilidade ao saflufenacil para posteriores estudos da dinâmica desse herbicida no solo</w:t>
      </w:r>
      <w:r w:rsidR="00E4206C">
        <w:t xml:space="preserve">. </w:t>
      </w:r>
      <w:r w:rsidR="00941872">
        <w:t xml:space="preserve">Foram avaliadas a sensibilidade </w:t>
      </w:r>
      <w:r w:rsidR="00100884">
        <w:t xml:space="preserve">de </w:t>
      </w:r>
      <w:r w:rsidR="00941872">
        <w:t>sete</w:t>
      </w:r>
      <w:r w:rsidR="00765939">
        <w:t xml:space="preserve"> espécies de plantas </w:t>
      </w:r>
      <w:r w:rsidR="00941872">
        <w:t>ao saflufenacil (</w:t>
      </w:r>
      <w:proofErr w:type="spellStart"/>
      <w:r w:rsidR="00765939" w:rsidRPr="009B1A1F">
        <w:rPr>
          <w:i/>
        </w:rPr>
        <w:t>Curcubita</w:t>
      </w:r>
      <w:proofErr w:type="spellEnd"/>
      <w:r w:rsidR="00765939" w:rsidRPr="009B1A1F">
        <w:rPr>
          <w:i/>
        </w:rPr>
        <w:t xml:space="preserve"> </w:t>
      </w:r>
      <w:proofErr w:type="spellStart"/>
      <w:r w:rsidR="00765939" w:rsidRPr="009B1A1F">
        <w:rPr>
          <w:i/>
        </w:rPr>
        <w:t>pepo</w:t>
      </w:r>
      <w:proofErr w:type="spellEnd"/>
      <w:r w:rsidR="00E4206C">
        <w:t xml:space="preserve">, </w:t>
      </w:r>
      <w:r w:rsidR="00765939" w:rsidRPr="009B1A1F">
        <w:rPr>
          <w:i/>
        </w:rPr>
        <w:t xml:space="preserve">Beta </w:t>
      </w:r>
      <w:proofErr w:type="spellStart"/>
      <w:r w:rsidR="00765939" w:rsidRPr="009B1A1F">
        <w:rPr>
          <w:i/>
        </w:rPr>
        <w:t>vulgaris</w:t>
      </w:r>
      <w:proofErr w:type="spellEnd"/>
      <w:r w:rsidR="00E4206C">
        <w:t xml:space="preserve">, </w:t>
      </w:r>
      <w:proofErr w:type="spellStart"/>
      <w:r w:rsidR="00765939" w:rsidRPr="009B1A1F">
        <w:rPr>
          <w:i/>
        </w:rPr>
        <w:t>Daucus</w:t>
      </w:r>
      <w:proofErr w:type="spellEnd"/>
      <w:r w:rsidR="00765939" w:rsidRPr="009B1A1F">
        <w:rPr>
          <w:i/>
        </w:rPr>
        <w:t xml:space="preserve"> </w:t>
      </w:r>
      <w:proofErr w:type="spellStart"/>
      <w:r w:rsidR="00765939" w:rsidRPr="009B1A1F">
        <w:rPr>
          <w:i/>
        </w:rPr>
        <w:t>carota</w:t>
      </w:r>
      <w:proofErr w:type="spellEnd"/>
      <w:r w:rsidR="00E4206C">
        <w:t>,</w:t>
      </w:r>
      <w:r w:rsidR="00100884">
        <w:t xml:space="preserve"> </w:t>
      </w:r>
      <w:proofErr w:type="spellStart"/>
      <w:r w:rsidR="00765939" w:rsidRPr="0077128C">
        <w:rPr>
          <w:i/>
        </w:rPr>
        <w:t>Citrullus</w:t>
      </w:r>
      <w:proofErr w:type="spellEnd"/>
      <w:r w:rsidR="00765939" w:rsidRPr="0077128C">
        <w:rPr>
          <w:i/>
        </w:rPr>
        <w:t xml:space="preserve"> </w:t>
      </w:r>
      <w:proofErr w:type="spellStart"/>
      <w:r w:rsidR="00765939" w:rsidRPr="0077128C">
        <w:rPr>
          <w:i/>
        </w:rPr>
        <w:t>lanatus</w:t>
      </w:r>
      <w:proofErr w:type="spellEnd"/>
      <w:r w:rsidR="00E4206C">
        <w:t>,</w:t>
      </w:r>
      <w:r w:rsidR="00100884">
        <w:t xml:space="preserve"> </w:t>
      </w:r>
      <w:proofErr w:type="spellStart"/>
      <w:r w:rsidR="00941872">
        <w:rPr>
          <w:i/>
        </w:rPr>
        <w:t>C</w:t>
      </w:r>
      <w:r w:rsidR="00765939" w:rsidRPr="0077128C">
        <w:rPr>
          <w:i/>
        </w:rPr>
        <w:t>ucumis</w:t>
      </w:r>
      <w:proofErr w:type="spellEnd"/>
      <w:r w:rsidR="00765939" w:rsidRPr="0077128C">
        <w:rPr>
          <w:i/>
        </w:rPr>
        <w:t xml:space="preserve"> </w:t>
      </w:r>
      <w:proofErr w:type="spellStart"/>
      <w:r w:rsidR="00765939" w:rsidRPr="0077128C">
        <w:rPr>
          <w:i/>
        </w:rPr>
        <w:t>sativus</w:t>
      </w:r>
      <w:proofErr w:type="spellEnd"/>
      <w:r w:rsidR="00E4206C">
        <w:t>,</w:t>
      </w:r>
      <w:r w:rsidR="00941872">
        <w:t xml:space="preserve"> </w:t>
      </w:r>
      <w:proofErr w:type="spellStart"/>
      <w:r w:rsidR="0059442D" w:rsidRPr="007255CA">
        <w:rPr>
          <w:i/>
        </w:rPr>
        <w:t>Sorghum</w:t>
      </w:r>
      <w:proofErr w:type="spellEnd"/>
      <w:r w:rsidR="0059442D" w:rsidRPr="007255CA">
        <w:rPr>
          <w:i/>
        </w:rPr>
        <w:t xml:space="preserve"> bicolor</w:t>
      </w:r>
      <w:r w:rsidR="0059442D">
        <w:t xml:space="preserve"> </w:t>
      </w:r>
      <w:r w:rsidR="00765939">
        <w:t>e</w:t>
      </w:r>
      <w:r w:rsidR="00941872">
        <w:t xml:space="preserve"> </w:t>
      </w:r>
      <w:proofErr w:type="spellStart"/>
      <w:r w:rsidR="00765939" w:rsidRPr="00610650">
        <w:rPr>
          <w:i/>
        </w:rPr>
        <w:t>Solanum</w:t>
      </w:r>
      <w:proofErr w:type="spellEnd"/>
      <w:r w:rsidR="00765939" w:rsidRPr="00610650">
        <w:rPr>
          <w:i/>
        </w:rPr>
        <w:t xml:space="preserve"> </w:t>
      </w:r>
      <w:proofErr w:type="spellStart"/>
      <w:r w:rsidR="00765939" w:rsidRPr="00610650">
        <w:rPr>
          <w:i/>
        </w:rPr>
        <w:t>lycopersicum</w:t>
      </w:r>
      <w:proofErr w:type="spellEnd"/>
      <w:r w:rsidR="00100884" w:rsidRPr="007255CA">
        <w:t>)</w:t>
      </w:r>
      <w:r w:rsidR="00941872">
        <w:rPr>
          <w:i/>
        </w:rPr>
        <w:t xml:space="preserve">. </w:t>
      </w:r>
      <w:r w:rsidR="00941872">
        <w:t>Para isso, es</w:t>
      </w:r>
      <w:r w:rsidR="00333435">
        <w:t>t</w:t>
      </w:r>
      <w:r w:rsidR="00941872">
        <w:t>as espécies for</w:t>
      </w:r>
      <w:r w:rsidR="00EF0314">
        <w:t>a</w:t>
      </w:r>
      <w:r w:rsidR="00941872">
        <w:t xml:space="preserve">m cultivadas em </w:t>
      </w:r>
      <w:r w:rsidR="00333435">
        <w:t>substrato</w:t>
      </w:r>
      <w:r w:rsidR="00941872">
        <w:t xml:space="preserve"> inerte (areia lavada) tratado </w:t>
      </w:r>
      <w:r w:rsidR="00333435">
        <w:t xml:space="preserve">com </w:t>
      </w:r>
      <w:r w:rsidR="00E4206C">
        <w:t xml:space="preserve">doses </w:t>
      </w:r>
      <w:r w:rsidR="00333435">
        <w:t xml:space="preserve">crescentes </w:t>
      </w:r>
      <w:r w:rsidR="00765939">
        <w:t xml:space="preserve">do </w:t>
      </w:r>
      <w:r w:rsidR="00941872">
        <w:t>saflufenacil (</w:t>
      </w:r>
      <w:r w:rsidR="00765939">
        <w:t>0</w:t>
      </w:r>
      <w:r w:rsidR="002470BB">
        <w:t>,0</w:t>
      </w:r>
      <w:r w:rsidR="00765939">
        <w:t>; 0,625; 1,25; 2,50; 5,0; 10,0 e 20,0 g ha</w:t>
      </w:r>
      <w:r w:rsidR="00765939" w:rsidRPr="00582381">
        <w:rPr>
          <w:vertAlign w:val="superscript"/>
        </w:rPr>
        <w:t>-1</w:t>
      </w:r>
      <w:r w:rsidR="00941872" w:rsidRPr="007255CA">
        <w:t>)</w:t>
      </w:r>
      <w:r w:rsidR="00941872">
        <w:t>.</w:t>
      </w:r>
      <w:r w:rsidR="0064122A">
        <w:t xml:space="preserve"> </w:t>
      </w:r>
      <w:r w:rsidR="002470BB">
        <w:t>A</w:t>
      </w:r>
      <w:r w:rsidR="0059442D">
        <w:t xml:space="preserve">s espécies </w:t>
      </w:r>
      <w:r w:rsidR="0059442D" w:rsidRPr="009B1A1F">
        <w:rPr>
          <w:i/>
        </w:rPr>
        <w:t>B</w:t>
      </w:r>
      <w:r w:rsidR="00100884">
        <w:rPr>
          <w:i/>
        </w:rPr>
        <w:t xml:space="preserve">. </w:t>
      </w:r>
      <w:proofErr w:type="spellStart"/>
      <w:r w:rsidR="0059442D" w:rsidRPr="009B1A1F">
        <w:rPr>
          <w:i/>
        </w:rPr>
        <w:t>vulgaris</w:t>
      </w:r>
      <w:proofErr w:type="spellEnd"/>
      <w:r w:rsidR="0059442D">
        <w:t xml:space="preserve">, </w:t>
      </w:r>
      <w:r w:rsidR="0059442D" w:rsidRPr="00610650">
        <w:rPr>
          <w:i/>
        </w:rPr>
        <w:t>S</w:t>
      </w:r>
      <w:r w:rsidR="00100884">
        <w:rPr>
          <w:i/>
        </w:rPr>
        <w:t>.</w:t>
      </w:r>
      <w:r w:rsidR="0059442D" w:rsidRPr="00610650">
        <w:rPr>
          <w:i/>
        </w:rPr>
        <w:t xml:space="preserve"> </w:t>
      </w:r>
      <w:proofErr w:type="spellStart"/>
      <w:r w:rsidR="0059442D" w:rsidRPr="00610650">
        <w:rPr>
          <w:i/>
        </w:rPr>
        <w:t>lycopersicum</w:t>
      </w:r>
      <w:proofErr w:type="spellEnd"/>
      <w:r w:rsidR="0059442D">
        <w:rPr>
          <w:i/>
        </w:rPr>
        <w:t xml:space="preserve"> e </w:t>
      </w:r>
      <w:r w:rsidR="00100884">
        <w:rPr>
          <w:i/>
        </w:rPr>
        <w:t xml:space="preserve">S. </w:t>
      </w:r>
      <w:r w:rsidR="0059442D">
        <w:rPr>
          <w:i/>
        </w:rPr>
        <w:t>bicolor</w:t>
      </w:r>
      <w:r w:rsidR="0059442D">
        <w:t xml:space="preserve"> </w:t>
      </w:r>
      <w:r w:rsidR="002470BB">
        <w:t>foram as mais sensíveis</w:t>
      </w:r>
      <w:r w:rsidR="007255CA">
        <w:t xml:space="preserve"> ao</w:t>
      </w:r>
      <w:r w:rsidR="002470BB">
        <w:t xml:space="preserve"> </w:t>
      </w:r>
      <w:r w:rsidR="0059442D">
        <w:t>saflufenacil.</w:t>
      </w:r>
      <w:r w:rsidR="002470BB">
        <w:t xml:space="preserve"> </w:t>
      </w:r>
      <w:r w:rsidR="0059442D">
        <w:t>Dentre estas espécies</w:t>
      </w:r>
      <w:r w:rsidR="007255CA">
        <w:t>,</w:t>
      </w:r>
      <w:r w:rsidR="0059442D">
        <w:t xml:space="preserve"> </w:t>
      </w:r>
      <w:r w:rsidR="0059442D" w:rsidRPr="00030C20">
        <w:rPr>
          <w:i/>
        </w:rPr>
        <w:t>B</w:t>
      </w:r>
      <w:r w:rsidR="00100884">
        <w:rPr>
          <w:i/>
        </w:rPr>
        <w:t xml:space="preserve">. </w:t>
      </w:r>
      <w:proofErr w:type="spellStart"/>
      <w:r w:rsidR="0059442D" w:rsidRPr="00030C20">
        <w:rPr>
          <w:i/>
        </w:rPr>
        <w:t>vulgaris</w:t>
      </w:r>
      <w:proofErr w:type="spellEnd"/>
      <w:r w:rsidR="0059442D">
        <w:t xml:space="preserve"> </w:t>
      </w:r>
      <w:r w:rsidR="00EF0314">
        <w:t>é de fácil</w:t>
      </w:r>
      <w:r w:rsidR="0059442D">
        <w:t xml:space="preserve"> cultivo, crescimento rápido e </w:t>
      </w:r>
      <w:r w:rsidR="00EF0314">
        <w:t>permite rápida</w:t>
      </w:r>
      <w:r w:rsidR="0059442D">
        <w:t xml:space="preserve"> visualização dos sintomas de intoxicação</w:t>
      </w:r>
      <w:r w:rsidR="00333435">
        <w:t>. C</w:t>
      </w:r>
      <w:r w:rsidR="00EF0314">
        <w:t>oncluiu-se que</w:t>
      </w:r>
      <w:r w:rsidR="00333435">
        <w:t xml:space="preserve"> </w:t>
      </w:r>
      <w:r w:rsidR="00333435" w:rsidRPr="00030C20">
        <w:rPr>
          <w:i/>
        </w:rPr>
        <w:t>B</w:t>
      </w:r>
      <w:r w:rsidR="00100884">
        <w:rPr>
          <w:i/>
        </w:rPr>
        <w:t xml:space="preserve">. </w:t>
      </w:r>
      <w:proofErr w:type="spellStart"/>
      <w:r w:rsidR="00333435" w:rsidRPr="00030C20">
        <w:rPr>
          <w:i/>
        </w:rPr>
        <w:t>vulgaris</w:t>
      </w:r>
      <w:proofErr w:type="spellEnd"/>
      <w:r w:rsidR="00333435">
        <w:t xml:space="preserve"> </w:t>
      </w:r>
      <w:r w:rsidR="006F15BC">
        <w:t xml:space="preserve">pode ser considerada como </w:t>
      </w:r>
      <w:r w:rsidR="00451708">
        <w:t xml:space="preserve">indicadora da presença do saflufenacil na solução </w:t>
      </w:r>
      <w:r w:rsidR="006F15BC">
        <w:t>para estudos da dinâmica desse herbicida em solos.</w:t>
      </w:r>
      <w:r w:rsidR="00451708">
        <w:t xml:space="preserve">  </w:t>
      </w:r>
    </w:p>
    <w:p w14:paraId="59624F00" w14:textId="7D132F40" w:rsidR="00D66156" w:rsidRPr="00D66156" w:rsidRDefault="00D66156" w:rsidP="002E5C01">
      <w:pPr>
        <w:spacing w:line="480" w:lineRule="auto"/>
        <w:jc w:val="both"/>
      </w:pPr>
      <w:r w:rsidRPr="00D66156">
        <w:rPr>
          <w:b/>
        </w:rPr>
        <w:t>Palavras-chave:</w:t>
      </w:r>
      <w:r>
        <w:rPr>
          <w:b/>
        </w:rPr>
        <w:t xml:space="preserve"> </w:t>
      </w:r>
      <w:r w:rsidR="00100884">
        <w:t>comportamento no solo, ensaio biológico</w:t>
      </w:r>
      <w:r w:rsidR="00A06E4F">
        <w:t>,</w:t>
      </w:r>
      <w:r w:rsidR="00A06E4F" w:rsidRPr="00A06E4F">
        <w:t xml:space="preserve"> </w:t>
      </w:r>
      <w:r w:rsidR="00A06E4F">
        <w:t>herbicida</w:t>
      </w:r>
      <w:r w:rsidR="00AD5E19">
        <w:t>.</w:t>
      </w:r>
    </w:p>
    <w:p w14:paraId="35D8B5E5" w14:textId="61CDADE4" w:rsidR="002D582F" w:rsidRPr="002D582F" w:rsidRDefault="00C90F4D" w:rsidP="002E5C01">
      <w:pPr>
        <w:pStyle w:val="Pr-formataoHTML"/>
        <w:shd w:val="clear" w:color="auto" w:fill="FFFFFF"/>
        <w:spacing w:line="480" w:lineRule="auto"/>
        <w:jc w:val="both"/>
        <w:rPr>
          <w:rFonts w:ascii="Times New Roman" w:hAnsi="Times New Roman" w:cs="Times New Roman"/>
          <w:color w:val="212121"/>
          <w:sz w:val="24"/>
        </w:rPr>
      </w:pPr>
      <w:r w:rsidRPr="00C90F4D">
        <w:rPr>
          <w:rFonts w:ascii="Times New Roman" w:hAnsi="Times New Roman" w:cs="Times New Roman"/>
          <w:b/>
          <w:color w:val="212121"/>
          <w:sz w:val="24"/>
          <w:lang w:val="en"/>
        </w:rPr>
        <w:t>Abstract -</w:t>
      </w:r>
      <w:r>
        <w:rPr>
          <w:rFonts w:ascii="Times New Roman" w:hAnsi="Times New Roman" w:cs="Times New Roman"/>
          <w:color w:val="212121"/>
          <w:sz w:val="24"/>
          <w:lang w:val="en"/>
        </w:rPr>
        <w:t xml:space="preserve"> </w:t>
      </w:r>
      <w:r w:rsidR="002D582F" w:rsidRPr="002D582F">
        <w:rPr>
          <w:rFonts w:ascii="Times New Roman" w:hAnsi="Times New Roman" w:cs="Times New Roman"/>
          <w:color w:val="212121"/>
          <w:sz w:val="24"/>
          <w:lang w:val="en"/>
        </w:rPr>
        <w:t>One of the methods, efficient and low cost, to estimate the presence of herbicides in the soil is</w:t>
      </w:r>
      <w:r w:rsidR="00AC6D6E">
        <w:rPr>
          <w:rFonts w:ascii="Times New Roman" w:hAnsi="Times New Roman" w:cs="Times New Roman"/>
          <w:color w:val="212121"/>
          <w:sz w:val="24"/>
          <w:lang w:val="en"/>
        </w:rPr>
        <w:t xml:space="preserve"> the</w:t>
      </w:r>
      <w:r w:rsidR="002D582F" w:rsidRPr="002D582F">
        <w:rPr>
          <w:rFonts w:ascii="Times New Roman" w:hAnsi="Times New Roman" w:cs="Times New Roman"/>
          <w:color w:val="212121"/>
          <w:sz w:val="24"/>
          <w:lang w:val="en"/>
        </w:rPr>
        <w:t xml:space="preserve"> biological. However, before using this method it is necessary to identify species that have high sensitivity to the herbicide under study. This research aimed to select species that show high sensitivity to saflufenacil for later studies of the dynamics of this herbicide in the soil. The sensitivity of seven plant</w:t>
      </w:r>
      <w:r w:rsidR="00AC6D6E">
        <w:rPr>
          <w:rFonts w:ascii="Times New Roman" w:hAnsi="Times New Roman" w:cs="Times New Roman"/>
          <w:color w:val="212121"/>
          <w:sz w:val="24"/>
          <w:lang w:val="en"/>
        </w:rPr>
        <w:t>s</w:t>
      </w:r>
      <w:r w:rsidR="002D582F" w:rsidRPr="002D582F">
        <w:rPr>
          <w:rFonts w:ascii="Times New Roman" w:hAnsi="Times New Roman" w:cs="Times New Roman"/>
          <w:color w:val="212121"/>
          <w:sz w:val="24"/>
          <w:lang w:val="en"/>
        </w:rPr>
        <w:t xml:space="preserve"> species to saflufenacil (</w:t>
      </w:r>
      <w:proofErr w:type="spellStart"/>
      <w:r w:rsidR="002D582F" w:rsidRPr="00AC6D6E">
        <w:rPr>
          <w:rFonts w:ascii="Times New Roman" w:hAnsi="Times New Roman" w:cs="Times New Roman"/>
          <w:i/>
          <w:color w:val="212121"/>
          <w:sz w:val="24"/>
          <w:lang w:val="en"/>
        </w:rPr>
        <w:t>Curcubita</w:t>
      </w:r>
      <w:proofErr w:type="spellEnd"/>
      <w:r w:rsidR="002D582F" w:rsidRPr="00AC6D6E">
        <w:rPr>
          <w:rFonts w:ascii="Times New Roman" w:hAnsi="Times New Roman" w:cs="Times New Roman"/>
          <w:i/>
          <w:color w:val="212121"/>
          <w:sz w:val="24"/>
          <w:lang w:val="en"/>
        </w:rPr>
        <w:t xml:space="preserve"> pepo</w:t>
      </w:r>
      <w:r w:rsidR="002D582F" w:rsidRPr="002D582F">
        <w:rPr>
          <w:rFonts w:ascii="Times New Roman" w:hAnsi="Times New Roman" w:cs="Times New Roman"/>
          <w:color w:val="212121"/>
          <w:sz w:val="24"/>
          <w:lang w:val="en"/>
        </w:rPr>
        <w:t xml:space="preserve">, </w:t>
      </w:r>
      <w:r w:rsidR="002D582F" w:rsidRPr="00AC6D6E">
        <w:rPr>
          <w:rFonts w:ascii="Times New Roman" w:hAnsi="Times New Roman" w:cs="Times New Roman"/>
          <w:i/>
          <w:color w:val="212121"/>
          <w:sz w:val="24"/>
          <w:lang w:val="en"/>
        </w:rPr>
        <w:t>Beta vulgaris</w:t>
      </w:r>
      <w:r w:rsidR="002D582F" w:rsidRPr="002D582F">
        <w:rPr>
          <w:rFonts w:ascii="Times New Roman" w:hAnsi="Times New Roman" w:cs="Times New Roman"/>
          <w:color w:val="212121"/>
          <w:sz w:val="24"/>
          <w:lang w:val="en"/>
        </w:rPr>
        <w:t xml:space="preserve">, </w:t>
      </w:r>
      <w:r w:rsidR="002D582F" w:rsidRPr="00AC6D6E">
        <w:rPr>
          <w:rFonts w:ascii="Times New Roman" w:hAnsi="Times New Roman" w:cs="Times New Roman"/>
          <w:i/>
          <w:color w:val="212121"/>
          <w:sz w:val="24"/>
          <w:lang w:val="en"/>
        </w:rPr>
        <w:t xml:space="preserve">Daucus </w:t>
      </w:r>
      <w:proofErr w:type="spellStart"/>
      <w:r w:rsidR="002D582F" w:rsidRPr="00AC6D6E">
        <w:rPr>
          <w:rFonts w:ascii="Times New Roman" w:hAnsi="Times New Roman" w:cs="Times New Roman"/>
          <w:i/>
          <w:color w:val="212121"/>
          <w:sz w:val="24"/>
          <w:lang w:val="en"/>
        </w:rPr>
        <w:t>carota</w:t>
      </w:r>
      <w:proofErr w:type="spellEnd"/>
      <w:r w:rsidR="002D582F" w:rsidRPr="002D582F">
        <w:rPr>
          <w:rFonts w:ascii="Times New Roman" w:hAnsi="Times New Roman" w:cs="Times New Roman"/>
          <w:color w:val="212121"/>
          <w:sz w:val="24"/>
          <w:lang w:val="en"/>
        </w:rPr>
        <w:t xml:space="preserve">, </w:t>
      </w:r>
      <w:r w:rsidR="002D582F" w:rsidRPr="00AC6D6E">
        <w:rPr>
          <w:rFonts w:ascii="Times New Roman" w:hAnsi="Times New Roman" w:cs="Times New Roman"/>
          <w:i/>
          <w:color w:val="212121"/>
          <w:sz w:val="24"/>
          <w:lang w:val="en"/>
        </w:rPr>
        <w:t xml:space="preserve">Citrullus </w:t>
      </w:r>
      <w:proofErr w:type="spellStart"/>
      <w:r w:rsidR="002D582F" w:rsidRPr="00AC6D6E">
        <w:rPr>
          <w:rFonts w:ascii="Times New Roman" w:hAnsi="Times New Roman" w:cs="Times New Roman"/>
          <w:i/>
          <w:color w:val="212121"/>
          <w:sz w:val="24"/>
          <w:lang w:val="en"/>
        </w:rPr>
        <w:t>lanatus</w:t>
      </w:r>
      <w:proofErr w:type="spellEnd"/>
      <w:r w:rsidR="002D582F" w:rsidRPr="002D582F">
        <w:rPr>
          <w:rFonts w:ascii="Times New Roman" w:hAnsi="Times New Roman" w:cs="Times New Roman"/>
          <w:color w:val="212121"/>
          <w:sz w:val="24"/>
          <w:lang w:val="en"/>
        </w:rPr>
        <w:t xml:space="preserve">, </w:t>
      </w:r>
      <w:r w:rsidR="002D582F" w:rsidRPr="00AC6D6E">
        <w:rPr>
          <w:rFonts w:ascii="Times New Roman" w:hAnsi="Times New Roman" w:cs="Times New Roman"/>
          <w:i/>
          <w:color w:val="212121"/>
          <w:sz w:val="24"/>
          <w:lang w:val="en"/>
        </w:rPr>
        <w:t>Cucumis sativus</w:t>
      </w:r>
      <w:r w:rsidR="002D582F" w:rsidRPr="002D582F">
        <w:rPr>
          <w:rFonts w:ascii="Times New Roman" w:hAnsi="Times New Roman" w:cs="Times New Roman"/>
          <w:color w:val="212121"/>
          <w:sz w:val="24"/>
          <w:lang w:val="en"/>
        </w:rPr>
        <w:t xml:space="preserve">, </w:t>
      </w:r>
      <w:r w:rsidR="002D582F" w:rsidRPr="00AC6D6E">
        <w:rPr>
          <w:rFonts w:ascii="Times New Roman" w:hAnsi="Times New Roman" w:cs="Times New Roman"/>
          <w:i/>
          <w:color w:val="212121"/>
          <w:sz w:val="24"/>
          <w:lang w:val="en"/>
        </w:rPr>
        <w:t>Sorghum bicolor</w:t>
      </w:r>
      <w:r w:rsidR="002D582F" w:rsidRPr="002D582F">
        <w:rPr>
          <w:rFonts w:ascii="Times New Roman" w:hAnsi="Times New Roman" w:cs="Times New Roman"/>
          <w:color w:val="212121"/>
          <w:sz w:val="24"/>
          <w:lang w:val="en"/>
        </w:rPr>
        <w:t xml:space="preserve"> and </w:t>
      </w:r>
      <w:r w:rsidR="002D582F" w:rsidRPr="00AC6D6E">
        <w:rPr>
          <w:rFonts w:ascii="Times New Roman" w:hAnsi="Times New Roman" w:cs="Times New Roman"/>
          <w:i/>
          <w:color w:val="212121"/>
          <w:sz w:val="24"/>
          <w:lang w:val="en"/>
        </w:rPr>
        <w:t xml:space="preserve">Solanum </w:t>
      </w:r>
      <w:proofErr w:type="spellStart"/>
      <w:r w:rsidR="002D582F" w:rsidRPr="00AC6D6E">
        <w:rPr>
          <w:rFonts w:ascii="Times New Roman" w:hAnsi="Times New Roman" w:cs="Times New Roman"/>
          <w:i/>
          <w:color w:val="212121"/>
          <w:sz w:val="24"/>
          <w:lang w:val="en"/>
        </w:rPr>
        <w:t>lycopersicum</w:t>
      </w:r>
      <w:proofErr w:type="spellEnd"/>
      <w:r w:rsidR="002D582F" w:rsidRPr="002D582F">
        <w:rPr>
          <w:rFonts w:ascii="Times New Roman" w:hAnsi="Times New Roman" w:cs="Times New Roman"/>
          <w:color w:val="212121"/>
          <w:sz w:val="24"/>
          <w:lang w:val="en"/>
        </w:rPr>
        <w:t xml:space="preserve">) were evaluated. For this, these species were cultivated on an inert substrate (washed sand) treated with increasing doses of saflufenacil (0.0, 0.625, 1.25, 2.50, 5.0, 10.0 and </w:t>
      </w:r>
      <w:r w:rsidR="002D582F" w:rsidRPr="002D582F">
        <w:rPr>
          <w:rFonts w:ascii="Times New Roman" w:hAnsi="Times New Roman" w:cs="Times New Roman"/>
          <w:color w:val="212121"/>
          <w:sz w:val="24"/>
          <w:lang w:val="en"/>
        </w:rPr>
        <w:lastRenderedPageBreak/>
        <w:t>20.0 g ha</w:t>
      </w:r>
      <w:r w:rsidR="002D582F" w:rsidRPr="00AC6D6E">
        <w:rPr>
          <w:rFonts w:ascii="Times New Roman" w:hAnsi="Times New Roman" w:cs="Times New Roman"/>
          <w:color w:val="212121"/>
          <w:sz w:val="24"/>
          <w:vertAlign w:val="superscript"/>
          <w:lang w:val="en"/>
        </w:rPr>
        <w:t>-1</w:t>
      </w:r>
      <w:r w:rsidR="002D582F" w:rsidRPr="002D582F">
        <w:rPr>
          <w:rFonts w:ascii="Times New Roman" w:hAnsi="Times New Roman" w:cs="Times New Roman"/>
          <w:color w:val="212121"/>
          <w:sz w:val="24"/>
          <w:lang w:val="en"/>
        </w:rPr>
        <w:t>). The specie</w:t>
      </w:r>
      <w:r w:rsidR="00AC6D6E">
        <w:rPr>
          <w:rFonts w:ascii="Times New Roman" w:hAnsi="Times New Roman" w:cs="Times New Roman"/>
          <w:color w:val="212121"/>
          <w:sz w:val="24"/>
          <w:lang w:val="en"/>
        </w:rPr>
        <w:t>s</w:t>
      </w:r>
      <w:r w:rsidR="002D582F" w:rsidRPr="002D582F">
        <w:rPr>
          <w:rFonts w:ascii="Times New Roman" w:hAnsi="Times New Roman" w:cs="Times New Roman"/>
          <w:color w:val="212121"/>
          <w:sz w:val="24"/>
          <w:lang w:val="en"/>
        </w:rPr>
        <w:t xml:space="preserve"> </w:t>
      </w:r>
      <w:r w:rsidR="002D582F" w:rsidRPr="00AC6D6E">
        <w:rPr>
          <w:rFonts w:ascii="Times New Roman" w:hAnsi="Times New Roman" w:cs="Times New Roman"/>
          <w:i/>
          <w:color w:val="212121"/>
          <w:sz w:val="24"/>
          <w:lang w:val="en"/>
        </w:rPr>
        <w:t>B. vulgaris</w:t>
      </w:r>
      <w:r w:rsidR="002D582F" w:rsidRPr="002D582F">
        <w:rPr>
          <w:rFonts w:ascii="Times New Roman" w:hAnsi="Times New Roman" w:cs="Times New Roman"/>
          <w:color w:val="212121"/>
          <w:sz w:val="24"/>
          <w:lang w:val="en"/>
        </w:rPr>
        <w:t xml:space="preserve">, </w:t>
      </w:r>
      <w:r w:rsidR="002D582F" w:rsidRPr="00AC6D6E">
        <w:rPr>
          <w:rFonts w:ascii="Times New Roman" w:hAnsi="Times New Roman" w:cs="Times New Roman"/>
          <w:i/>
          <w:color w:val="212121"/>
          <w:sz w:val="24"/>
          <w:lang w:val="en"/>
        </w:rPr>
        <w:t xml:space="preserve">S. </w:t>
      </w:r>
      <w:proofErr w:type="spellStart"/>
      <w:r w:rsidR="002D582F" w:rsidRPr="00AC6D6E">
        <w:rPr>
          <w:rFonts w:ascii="Times New Roman" w:hAnsi="Times New Roman" w:cs="Times New Roman"/>
          <w:i/>
          <w:color w:val="212121"/>
          <w:sz w:val="24"/>
          <w:lang w:val="en"/>
        </w:rPr>
        <w:t>lycopersicum</w:t>
      </w:r>
      <w:proofErr w:type="spellEnd"/>
      <w:r w:rsidR="002D582F" w:rsidRPr="002D582F">
        <w:rPr>
          <w:rFonts w:ascii="Times New Roman" w:hAnsi="Times New Roman" w:cs="Times New Roman"/>
          <w:color w:val="212121"/>
          <w:sz w:val="24"/>
          <w:lang w:val="en"/>
        </w:rPr>
        <w:t xml:space="preserve"> and </w:t>
      </w:r>
      <w:r w:rsidR="002D582F" w:rsidRPr="00AC6D6E">
        <w:rPr>
          <w:rFonts w:ascii="Times New Roman" w:hAnsi="Times New Roman" w:cs="Times New Roman"/>
          <w:i/>
          <w:color w:val="212121"/>
          <w:sz w:val="24"/>
          <w:lang w:val="en"/>
        </w:rPr>
        <w:t>S. bicolor</w:t>
      </w:r>
      <w:r w:rsidR="002D582F" w:rsidRPr="002D582F">
        <w:rPr>
          <w:rFonts w:ascii="Times New Roman" w:hAnsi="Times New Roman" w:cs="Times New Roman"/>
          <w:color w:val="212121"/>
          <w:sz w:val="24"/>
          <w:lang w:val="en"/>
        </w:rPr>
        <w:t xml:space="preserve"> were the most sensitive to saflufenacil. Among these species, </w:t>
      </w:r>
      <w:r w:rsidR="002D582F" w:rsidRPr="00AC6D6E">
        <w:rPr>
          <w:rFonts w:ascii="Times New Roman" w:hAnsi="Times New Roman" w:cs="Times New Roman"/>
          <w:i/>
          <w:color w:val="212121"/>
          <w:sz w:val="24"/>
          <w:lang w:val="en"/>
        </w:rPr>
        <w:t>B. vulgaris</w:t>
      </w:r>
      <w:r w:rsidR="002D582F" w:rsidRPr="002D582F">
        <w:rPr>
          <w:rFonts w:ascii="Times New Roman" w:hAnsi="Times New Roman" w:cs="Times New Roman"/>
          <w:color w:val="212121"/>
          <w:sz w:val="24"/>
          <w:lang w:val="en"/>
        </w:rPr>
        <w:t xml:space="preserve"> is easy to grow, fast growing and allows rapid visualization of the symptoms of intoxication. It was concluded that </w:t>
      </w:r>
      <w:r w:rsidR="002D582F" w:rsidRPr="00AC6D6E">
        <w:rPr>
          <w:rFonts w:ascii="Times New Roman" w:hAnsi="Times New Roman" w:cs="Times New Roman"/>
          <w:i/>
          <w:color w:val="212121"/>
          <w:sz w:val="24"/>
          <w:lang w:val="en"/>
        </w:rPr>
        <w:t>B. vulgaris</w:t>
      </w:r>
      <w:r w:rsidR="002D582F" w:rsidRPr="002D582F">
        <w:rPr>
          <w:rFonts w:ascii="Times New Roman" w:hAnsi="Times New Roman" w:cs="Times New Roman"/>
          <w:color w:val="212121"/>
          <w:sz w:val="24"/>
          <w:lang w:val="en"/>
        </w:rPr>
        <w:t xml:space="preserve"> can be considered as an indicator of the presence of saflufenacil in the solution to study the dynamics of this herbicide in soils.</w:t>
      </w:r>
    </w:p>
    <w:p w14:paraId="5BBFF4BC" w14:textId="4FC0232F" w:rsidR="00D66156" w:rsidRPr="002D582F" w:rsidRDefault="00D66156" w:rsidP="002E5C01">
      <w:pPr>
        <w:spacing w:line="480" w:lineRule="auto"/>
        <w:jc w:val="both"/>
        <w:rPr>
          <w:lang w:val="en-US"/>
        </w:rPr>
      </w:pPr>
      <w:r w:rsidRPr="002225C3">
        <w:rPr>
          <w:b/>
          <w:lang w:val="en-US"/>
        </w:rPr>
        <w:t xml:space="preserve">Keywords: </w:t>
      </w:r>
      <w:r w:rsidR="00AC6D6E">
        <w:rPr>
          <w:lang w:val="en-US"/>
        </w:rPr>
        <w:t>behavior in soil, bioassay</w:t>
      </w:r>
      <w:r w:rsidR="00A06E4F">
        <w:rPr>
          <w:lang w:val="en-US"/>
        </w:rPr>
        <w:t>, herbicide</w:t>
      </w:r>
      <w:r w:rsidR="00AC6D6E">
        <w:rPr>
          <w:lang w:val="en-US"/>
        </w:rPr>
        <w:t>.</w:t>
      </w:r>
    </w:p>
    <w:p w14:paraId="5D3C0C70" w14:textId="0A3DCC13" w:rsidR="00995266" w:rsidRPr="002225C3" w:rsidRDefault="00D66156" w:rsidP="00A06E4F">
      <w:pPr>
        <w:spacing w:line="480" w:lineRule="auto"/>
        <w:jc w:val="center"/>
        <w:rPr>
          <w:b/>
          <w:lang w:val="en-US"/>
        </w:rPr>
      </w:pPr>
      <w:r w:rsidRPr="002225C3">
        <w:rPr>
          <w:b/>
          <w:lang w:val="en-US"/>
        </w:rPr>
        <w:br w:type="page"/>
      </w:r>
      <w:proofErr w:type="spellStart"/>
      <w:r w:rsidR="00100884">
        <w:rPr>
          <w:b/>
          <w:lang w:val="en-US"/>
        </w:rPr>
        <w:lastRenderedPageBreak/>
        <w:t>I</w:t>
      </w:r>
      <w:r w:rsidR="00A06E4F" w:rsidRPr="002225C3">
        <w:rPr>
          <w:b/>
          <w:lang w:val="en-US"/>
        </w:rPr>
        <w:t>ntrodução</w:t>
      </w:r>
      <w:proofErr w:type="spellEnd"/>
    </w:p>
    <w:p w14:paraId="63B60053" w14:textId="37D6351E" w:rsidR="00A93100" w:rsidRDefault="001E78A0" w:rsidP="002E5C01">
      <w:pPr>
        <w:spacing w:before="120" w:after="120" w:line="480" w:lineRule="auto"/>
        <w:ind w:firstLine="708"/>
        <w:jc w:val="both"/>
      </w:pPr>
      <w:r>
        <w:t xml:space="preserve">Os herbicidas são os </w:t>
      </w:r>
      <w:r w:rsidR="00902D3C">
        <w:t xml:space="preserve">agrotóxicos </w:t>
      </w:r>
      <w:r>
        <w:t>mais consumidos</w:t>
      </w:r>
      <w:r w:rsidR="00B40570">
        <w:t xml:space="preserve"> no</w:t>
      </w:r>
      <w:r w:rsidR="00350F98">
        <w:t xml:space="preserve"> mundo, </w:t>
      </w:r>
      <w:r w:rsidR="00B6758D">
        <w:t xml:space="preserve">com destaque </w:t>
      </w:r>
      <w:r w:rsidR="00FC37A0">
        <w:t>no Brasil</w:t>
      </w:r>
      <w:r w:rsidR="006874ED">
        <w:t xml:space="preserve"> </w:t>
      </w:r>
      <w:r w:rsidR="00902D3C">
        <w:t>que é</w:t>
      </w:r>
      <w:r w:rsidR="005F232D">
        <w:t xml:space="preserve"> </w:t>
      </w:r>
      <w:r w:rsidR="00C3219B">
        <w:t xml:space="preserve">hoje o </w:t>
      </w:r>
      <w:r w:rsidR="005F232D">
        <w:t>maior consumidor</w:t>
      </w:r>
      <w:r w:rsidR="00902D3C">
        <w:t xml:space="preserve">, sendo </w:t>
      </w:r>
      <w:r w:rsidR="00350F98">
        <w:t xml:space="preserve">responsável </w:t>
      </w:r>
      <w:r w:rsidR="00C3219B">
        <w:t>pelo uso</w:t>
      </w:r>
      <w:r w:rsidR="00350F98">
        <w:t xml:space="preserve"> de</w:t>
      </w:r>
      <w:r w:rsidR="00C3219B">
        <w:t xml:space="preserve"> mais de</w:t>
      </w:r>
      <w:r w:rsidR="00350F98">
        <w:t xml:space="preserve"> 220 mil toneladas de ingrediente ativo </w:t>
      </w:r>
      <w:r w:rsidR="00902D3C">
        <w:t>ao ano</w:t>
      </w:r>
      <w:r w:rsidR="00FC37A0">
        <w:t xml:space="preserve"> </w:t>
      </w:r>
      <w:r>
        <w:t>(FAO, 2018)</w:t>
      </w:r>
      <w:r w:rsidR="006874ED">
        <w:t xml:space="preserve">. </w:t>
      </w:r>
      <w:r w:rsidR="00DE3B9C">
        <w:t xml:space="preserve">Apesar desta grande demanda por herbicidas, </w:t>
      </w:r>
      <w:r w:rsidR="00C3219B">
        <w:t xml:space="preserve">o que se observa </w:t>
      </w:r>
      <w:r w:rsidR="00EE1D70">
        <w:t xml:space="preserve">no país </w:t>
      </w:r>
      <w:r w:rsidR="00C3219B">
        <w:t>é que</w:t>
      </w:r>
      <w:r w:rsidR="00B6758D">
        <w:t xml:space="preserve"> muitas das vezes</w:t>
      </w:r>
      <w:r w:rsidR="00C3219B">
        <w:t xml:space="preserve"> </w:t>
      </w:r>
      <w:r w:rsidR="00F80F44">
        <w:t>estes produtos têm</w:t>
      </w:r>
      <w:r w:rsidR="00C3219B">
        <w:t xml:space="preserve"> sido utilizados de maneira incorreta</w:t>
      </w:r>
      <w:r w:rsidR="00100884">
        <w:t xml:space="preserve">. Em razão disso é comum </w:t>
      </w:r>
      <w:r w:rsidR="00C3219B">
        <w:t>relatos de sérios</w:t>
      </w:r>
      <w:r w:rsidR="00350F98">
        <w:t xml:space="preserve"> problemas de contamina</w:t>
      </w:r>
      <w:r w:rsidR="00FF086B">
        <w:t>ções</w:t>
      </w:r>
      <w:r w:rsidR="00350F98">
        <w:t xml:space="preserve"> </w:t>
      </w:r>
      <w:r w:rsidR="004E6196">
        <w:t>do</w:t>
      </w:r>
      <w:r w:rsidR="00FF086B">
        <w:t>s</w:t>
      </w:r>
      <w:r w:rsidR="004E6196">
        <w:t xml:space="preserve"> </w:t>
      </w:r>
      <w:r w:rsidR="00E95C70">
        <w:t>ecossistema</w:t>
      </w:r>
      <w:r w:rsidR="00FF086B">
        <w:t>s</w:t>
      </w:r>
      <w:r w:rsidR="00100884">
        <w:t xml:space="preserve">. Isto </w:t>
      </w:r>
      <w:r w:rsidR="004E6196">
        <w:t xml:space="preserve">coloca em risco a segurança </w:t>
      </w:r>
      <w:r w:rsidR="00B94DB8">
        <w:t xml:space="preserve">da vida e </w:t>
      </w:r>
      <w:r w:rsidR="00100884">
        <w:t xml:space="preserve">o </w:t>
      </w:r>
      <w:r w:rsidR="00C3219B">
        <w:t>uso da</w:t>
      </w:r>
      <w:r w:rsidR="004E6196">
        <w:t xml:space="preserve"> água</w:t>
      </w:r>
      <w:r w:rsidR="00C3219B">
        <w:t xml:space="preserve"> </w:t>
      </w:r>
      <w:r w:rsidR="004E6196">
        <w:t>(</w:t>
      </w:r>
      <w:proofErr w:type="spellStart"/>
      <w:r w:rsidR="004E6196" w:rsidRPr="004E6196">
        <w:t>Vörösmarty</w:t>
      </w:r>
      <w:proofErr w:type="spellEnd"/>
      <w:r w:rsidR="004E6196" w:rsidRPr="004E6196">
        <w:t xml:space="preserve"> et al.,</w:t>
      </w:r>
      <w:r w:rsidR="004E6196">
        <w:t xml:space="preserve"> 2010</w:t>
      </w:r>
      <w:r w:rsidR="00CB6B1A">
        <w:t xml:space="preserve">; </w:t>
      </w:r>
      <w:proofErr w:type="spellStart"/>
      <w:r w:rsidR="005F232D" w:rsidRPr="005F232D">
        <w:t>Beketov</w:t>
      </w:r>
      <w:proofErr w:type="spellEnd"/>
      <w:r w:rsidR="005F232D" w:rsidRPr="005F232D">
        <w:t xml:space="preserve"> et al.,</w:t>
      </w:r>
      <w:r w:rsidR="005F232D">
        <w:t xml:space="preserve"> 2013</w:t>
      </w:r>
      <w:r w:rsidR="00D83456">
        <w:t>;</w:t>
      </w:r>
      <w:r w:rsidR="00D83456" w:rsidRPr="00D83456">
        <w:t xml:space="preserve"> </w:t>
      </w:r>
      <w:r w:rsidR="00D83456">
        <w:t xml:space="preserve">Zhang et al., 2013; </w:t>
      </w:r>
      <w:r w:rsidR="00D83456" w:rsidRPr="00D63C27">
        <w:t xml:space="preserve">Van </w:t>
      </w:r>
      <w:proofErr w:type="spellStart"/>
      <w:r w:rsidR="00D83456" w:rsidRPr="00D63C27">
        <w:t>Stempvoort</w:t>
      </w:r>
      <w:proofErr w:type="spellEnd"/>
      <w:r w:rsidR="00D83456">
        <w:t xml:space="preserve"> et al., 2014;</w:t>
      </w:r>
      <w:r w:rsidR="00802D8C">
        <w:t xml:space="preserve"> </w:t>
      </w:r>
      <w:proofErr w:type="spellStart"/>
      <w:r w:rsidR="00802D8C">
        <w:t>Topaz</w:t>
      </w:r>
      <w:proofErr w:type="spellEnd"/>
      <w:r w:rsidR="00802D8C">
        <w:t xml:space="preserve"> et al., 2018</w:t>
      </w:r>
      <w:r w:rsidR="004E6196">
        <w:t>).</w:t>
      </w:r>
    </w:p>
    <w:p w14:paraId="30393B32" w14:textId="2B71B437" w:rsidR="00DE3B9C" w:rsidRDefault="004D03D3" w:rsidP="002E5C01">
      <w:pPr>
        <w:spacing w:line="480" w:lineRule="auto"/>
        <w:ind w:firstLine="708"/>
        <w:jc w:val="both"/>
      </w:pPr>
      <w:r>
        <w:t xml:space="preserve">Independente de um </w:t>
      </w:r>
      <w:r w:rsidR="00EE04D2">
        <w:t>herbicida</w:t>
      </w:r>
      <w:r>
        <w:t xml:space="preserve"> ser aplicado em </w:t>
      </w:r>
      <w:proofErr w:type="spellStart"/>
      <w:r>
        <w:t>pré</w:t>
      </w:r>
      <w:proofErr w:type="spellEnd"/>
      <w:r>
        <w:t xml:space="preserve"> ou em pós-emergência</w:t>
      </w:r>
      <w:r w:rsidR="00C3219B">
        <w:t xml:space="preserve">, </w:t>
      </w:r>
      <w:r>
        <w:t>a grande maioria de suas moléculas tem como destino final o solo (Law</w:t>
      </w:r>
      <w:r w:rsidR="007E6E2F">
        <w:t>, 2001</w:t>
      </w:r>
      <w:r>
        <w:t>).</w:t>
      </w:r>
      <w:r w:rsidR="00C3219B">
        <w:t xml:space="preserve"> Ao atingir o solo, </w:t>
      </w:r>
      <w:r w:rsidR="00884BE4">
        <w:t>o</w:t>
      </w:r>
      <w:r w:rsidR="00C3219B">
        <w:t xml:space="preserve"> herbicida está sujeito a</w:t>
      </w:r>
      <w:r w:rsidR="00DD6760">
        <w:t xml:space="preserve"> </w:t>
      </w:r>
      <w:r w:rsidR="00EE04D2">
        <w:t>processos</w:t>
      </w:r>
      <w:r w:rsidR="00C3219B">
        <w:t xml:space="preserve">, </w:t>
      </w:r>
      <w:r w:rsidR="00DD6760">
        <w:t>tais quais</w:t>
      </w:r>
      <w:r w:rsidR="00B94DB8">
        <w:t>,</w:t>
      </w:r>
      <w:r w:rsidR="00DD6760">
        <w:t xml:space="preserve"> volatilização, sorção, dessorção, degradação química e biológica, absorção pelas plantas, escorrimento superficial e lixiviação, </w:t>
      </w:r>
      <w:r w:rsidR="00B94DB8">
        <w:t xml:space="preserve">que são descritos de forma </w:t>
      </w:r>
      <w:r w:rsidR="00DE3B9C">
        <w:t>isolada</w:t>
      </w:r>
      <w:r w:rsidR="00B94DB8">
        <w:t>, mas que</w:t>
      </w:r>
      <w:r w:rsidR="00DE3B9C">
        <w:t xml:space="preserve"> na prática</w:t>
      </w:r>
      <w:r w:rsidR="00EE1D70">
        <w:t>,</w:t>
      </w:r>
      <w:r w:rsidR="00B94DB8">
        <w:t xml:space="preserve"> </w:t>
      </w:r>
      <w:r w:rsidR="00EE1D70">
        <w:t>se interagem dentro da matriz do solo</w:t>
      </w:r>
      <w:r w:rsidR="00DE3B9C">
        <w:t>, influenciando o destino do produto no ambiente</w:t>
      </w:r>
      <w:r w:rsidR="00EE04D2">
        <w:t xml:space="preserve"> </w:t>
      </w:r>
      <w:r w:rsidR="00DD6760" w:rsidRPr="0092585D">
        <w:t>(</w:t>
      </w:r>
      <w:proofErr w:type="spellStart"/>
      <w:r w:rsidR="00DD6760" w:rsidRPr="0092585D">
        <w:t>Alekseeva</w:t>
      </w:r>
      <w:proofErr w:type="spellEnd"/>
      <w:r w:rsidR="00DD6760" w:rsidRPr="0092585D">
        <w:t xml:space="preserve"> et al., 2014)</w:t>
      </w:r>
      <w:r w:rsidR="00DD6760">
        <w:t xml:space="preserve">. </w:t>
      </w:r>
      <w:r>
        <w:t>Em razão disso,</w:t>
      </w:r>
      <w:r w:rsidR="00B94DB8">
        <w:t xml:space="preserve"> </w:t>
      </w:r>
      <w:r>
        <w:t>o conhecimento</w:t>
      </w:r>
      <w:r w:rsidR="00B94DB8">
        <w:t xml:space="preserve"> d</w:t>
      </w:r>
      <w:r>
        <w:t xml:space="preserve">a dinâmica dos herbicidas no </w:t>
      </w:r>
      <w:r w:rsidR="00B94DB8">
        <w:t xml:space="preserve">ambiente é </w:t>
      </w:r>
      <w:r>
        <w:t>imprescindível</w:t>
      </w:r>
      <w:r w:rsidR="00B94DB8">
        <w:t xml:space="preserve"> para </w:t>
      </w:r>
      <w:r>
        <w:t xml:space="preserve">que os </w:t>
      </w:r>
      <w:r w:rsidR="00B94DB8">
        <w:t xml:space="preserve">profissionais </w:t>
      </w:r>
      <w:r>
        <w:t>possam utilizar o método químico de controle das</w:t>
      </w:r>
      <w:r w:rsidR="00B94DB8">
        <w:t xml:space="preserve"> plantas daninhas</w:t>
      </w:r>
      <w:r w:rsidR="00DE3B9C">
        <w:t xml:space="preserve"> garantindo a eficiência </w:t>
      </w:r>
      <w:r>
        <w:t xml:space="preserve">do tratamento </w:t>
      </w:r>
      <w:r w:rsidR="00DE3B9C">
        <w:t>e reduzindo os riscos de contaminação ambiental.</w:t>
      </w:r>
    </w:p>
    <w:p w14:paraId="64D31E44" w14:textId="165A2CA9" w:rsidR="00603FF1" w:rsidRDefault="009A0F39" w:rsidP="002E5C01">
      <w:pPr>
        <w:spacing w:line="480" w:lineRule="auto"/>
        <w:ind w:firstLine="708"/>
        <w:jc w:val="both"/>
      </w:pPr>
      <w:r>
        <w:t xml:space="preserve">Para se compreender a dinâmica do herbicida no ambiente são necessários </w:t>
      </w:r>
      <w:r w:rsidR="00DE3B9C">
        <w:t>diversos estudos</w:t>
      </w:r>
      <w:r>
        <w:t xml:space="preserve"> referentes a </w:t>
      </w:r>
      <w:r w:rsidR="00EE04D2">
        <w:t xml:space="preserve">sorção, </w:t>
      </w:r>
      <w:r w:rsidR="00DE3B9C">
        <w:t xml:space="preserve">a </w:t>
      </w:r>
      <w:r w:rsidR="00EE04D2">
        <w:t xml:space="preserve">lixiviação e </w:t>
      </w:r>
      <w:r w:rsidR="00DE3B9C">
        <w:t xml:space="preserve">a </w:t>
      </w:r>
      <w:r w:rsidR="00EE04D2">
        <w:t>persistência de</w:t>
      </w:r>
      <w:r>
        <w:t xml:space="preserve"> suas moléculas nos diferentes tipos de solo. Conhecendo-se estas variáveis, por meio de modelos matemáticos, é possível </w:t>
      </w:r>
      <w:r w:rsidR="00DE3B9C">
        <w:t>faze</w:t>
      </w:r>
      <w:r w:rsidR="00CA66A9">
        <w:t>r</w:t>
      </w:r>
      <w:r w:rsidR="00DE3B9C">
        <w:t xml:space="preserve"> uma estimativa do possível destino </w:t>
      </w:r>
      <w:r>
        <w:t>dos herbicidas no ambiente</w:t>
      </w:r>
      <w:r w:rsidR="00EE04D2">
        <w:t xml:space="preserve"> (</w:t>
      </w:r>
      <w:r w:rsidR="00D92D2C">
        <w:t xml:space="preserve">Souza et al., 2016; </w:t>
      </w:r>
      <w:proofErr w:type="spellStart"/>
      <w:r w:rsidR="006905EC">
        <w:t>Kerminen</w:t>
      </w:r>
      <w:proofErr w:type="spellEnd"/>
      <w:r w:rsidR="006905EC">
        <w:t xml:space="preserve"> et al., 2018</w:t>
      </w:r>
      <w:r w:rsidR="001F73A9">
        <w:t>;</w:t>
      </w:r>
      <w:r w:rsidR="001F73A9" w:rsidRPr="001F73A9">
        <w:t xml:space="preserve"> </w:t>
      </w:r>
      <w:r w:rsidR="001F73A9">
        <w:t>Mendes et al., 20</w:t>
      </w:r>
      <w:r w:rsidR="00D92D2C">
        <w:t>18</w:t>
      </w:r>
      <w:r w:rsidR="00EE04D2">
        <w:t xml:space="preserve">). </w:t>
      </w:r>
      <w:r>
        <w:t>Os estudo</w:t>
      </w:r>
      <w:r w:rsidR="00CA66A9">
        <w:t>s</w:t>
      </w:r>
      <w:r>
        <w:t xml:space="preserve"> mencionados acima podem ser realizados por</w:t>
      </w:r>
      <w:r w:rsidR="00DE3B9C">
        <w:t xml:space="preserve"> métodos</w:t>
      </w:r>
      <w:r w:rsidR="009E3064">
        <w:t xml:space="preserve"> biológico</w:t>
      </w:r>
      <w:r>
        <w:t xml:space="preserve"> e químico ou pela associação dos dois métodos</w:t>
      </w:r>
      <w:r w:rsidR="0084638D">
        <w:t xml:space="preserve"> </w:t>
      </w:r>
      <w:r w:rsidR="00883882" w:rsidRPr="00F45F0E">
        <w:t>(</w:t>
      </w:r>
      <w:r w:rsidR="00CA66A9">
        <w:rPr>
          <w:rStyle w:val="fontstyle01"/>
        </w:rPr>
        <w:t>Andrade et al., 2010; Braga et al., 2016; Faria et al., 2018</w:t>
      </w:r>
      <w:r w:rsidR="00883882" w:rsidRPr="00F45F0E">
        <w:t>)</w:t>
      </w:r>
      <w:r w:rsidR="00603FF1">
        <w:t xml:space="preserve">. </w:t>
      </w:r>
    </w:p>
    <w:p w14:paraId="4BDC0FC9" w14:textId="2FCC0012" w:rsidR="0084638D" w:rsidRDefault="00883882" w:rsidP="002E5C01">
      <w:pPr>
        <w:spacing w:after="0" w:line="480" w:lineRule="auto"/>
        <w:ind w:firstLine="708"/>
        <w:jc w:val="both"/>
      </w:pPr>
      <w:r>
        <w:lastRenderedPageBreak/>
        <w:t xml:space="preserve"> </w:t>
      </w:r>
      <w:r w:rsidR="0084638D" w:rsidRPr="00D12301">
        <w:rPr>
          <w:rFonts w:eastAsia="Times New Roman"/>
          <w:bCs/>
          <w:szCs w:val="24"/>
        </w:rPr>
        <w:t xml:space="preserve">A quantificação da sorção de </w:t>
      </w:r>
      <w:r w:rsidR="0084638D">
        <w:rPr>
          <w:rFonts w:eastAsia="Times New Roman"/>
          <w:bCs/>
          <w:szCs w:val="24"/>
        </w:rPr>
        <w:t xml:space="preserve">um </w:t>
      </w:r>
      <w:r w:rsidR="0084638D" w:rsidRPr="00D12301">
        <w:rPr>
          <w:rFonts w:eastAsia="Times New Roman"/>
          <w:bCs/>
          <w:szCs w:val="24"/>
        </w:rPr>
        <w:t>herbicida no solo normalmente é realizada por cromatografia</w:t>
      </w:r>
      <w:r w:rsidR="009E3064">
        <w:rPr>
          <w:rFonts w:eastAsia="Times New Roman"/>
          <w:bCs/>
          <w:szCs w:val="24"/>
        </w:rPr>
        <w:t xml:space="preserve"> </w:t>
      </w:r>
      <w:r w:rsidR="00E40CE8" w:rsidRPr="00E40CE8">
        <w:rPr>
          <w:rFonts w:eastAsia="Times New Roman"/>
          <w:bCs/>
          <w:szCs w:val="24"/>
        </w:rPr>
        <w:t>(</w:t>
      </w:r>
      <w:r w:rsidR="00E40CE8">
        <w:rPr>
          <w:rFonts w:eastAsia="Times New Roman"/>
          <w:bCs/>
          <w:szCs w:val="24"/>
        </w:rPr>
        <w:t>Mendes et al., 2016</w:t>
      </w:r>
      <w:r w:rsidR="009E3064">
        <w:rPr>
          <w:rFonts w:eastAsia="Times New Roman"/>
          <w:bCs/>
          <w:szCs w:val="24"/>
        </w:rPr>
        <w:t>)</w:t>
      </w:r>
      <w:r w:rsidR="0084638D" w:rsidRPr="00D12301">
        <w:rPr>
          <w:rFonts w:eastAsia="Times New Roman"/>
          <w:bCs/>
          <w:szCs w:val="24"/>
        </w:rPr>
        <w:t xml:space="preserve">. </w:t>
      </w:r>
      <w:r w:rsidR="0084638D">
        <w:rPr>
          <w:rFonts w:eastAsia="Times New Roman"/>
          <w:bCs/>
          <w:szCs w:val="24"/>
        </w:rPr>
        <w:t>Contudo</w:t>
      </w:r>
      <w:r w:rsidR="0084638D" w:rsidRPr="00D12301">
        <w:rPr>
          <w:rFonts w:eastAsia="Times New Roman"/>
          <w:bCs/>
          <w:szCs w:val="24"/>
        </w:rPr>
        <w:t>, diversa</w:t>
      </w:r>
      <w:r w:rsidR="0084638D">
        <w:rPr>
          <w:rFonts w:eastAsia="Times New Roman"/>
          <w:bCs/>
          <w:szCs w:val="24"/>
        </w:rPr>
        <w:t>s</w:t>
      </w:r>
      <w:r w:rsidR="0084638D" w:rsidRPr="00D12301">
        <w:rPr>
          <w:rFonts w:eastAsia="Times New Roman"/>
          <w:bCs/>
          <w:szCs w:val="24"/>
        </w:rPr>
        <w:t xml:space="preserve"> pesquisa</w:t>
      </w:r>
      <w:r w:rsidR="0084638D">
        <w:rPr>
          <w:rFonts w:eastAsia="Times New Roman"/>
          <w:bCs/>
          <w:szCs w:val="24"/>
        </w:rPr>
        <w:t>s tê</w:t>
      </w:r>
      <w:r w:rsidR="0084638D" w:rsidRPr="00D12301">
        <w:rPr>
          <w:rFonts w:eastAsia="Times New Roman"/>
          <w:bCs/>
          <w:szCs w:val="24"/>
        </w:rPr>
        <w:t>m evidenciado a possibilidade de estimar a sorção utilizando-se testes biológicos</w:t>
      </w:r>
      <w:r w:rsidR="00B41789">
        <w:rPr>
          <w:rFonts w:eastAsia="Times New Roman"/>
          <w:bCs/>
          <w:szCs w:val="24"/>
        </w:rPr>
        <w:t xml:space="preserve"> </w:t>
      </w:r>
      <w:r w:rsidR="003D47E9">
        <w:rPr>
          <w:rFonts w:eastAsia="Times New Roman"/>
          <w:bCs/>
          <w:szCs w:val="24"/>
        </w:rPr>
        <w:t>(</w:t>
      </w:r>
      <w:r w:rsidR="00FD2EEF">
        <w:rPr>
          <w:rStyle w:val="fontstyle01"/>
        </w:rPr>
        <w:t>Andrade et al., 2010,</w:t>
      </w:r>
      <w:r w:rsidR="00830127">
        <w:rPr>
          <w:rStyle w:val="fontstyle01"/>
        </w:rPr>
        <w:t xml:space="preserve"> </w:t>
      </w:r>
      <w:r w:rsidR="00F318FE">
        <w:rPr>
          <w:rStyle w:val="fontstyle01"/>
        </w:rPr>
        <w:t xml:space="preserve">Braga et al., 2016, </w:t>
      </w:r>
      <w:r w:rsidR="003D47E9">
        <w:rPr>
          <w:rStyle w:val="fontstyle01"/>
        </w:rPr>
        <w:t>Faria et al., 2018)</w:t>
      </w:r>
      <w:r w:rsidR="0084638D" w:rsidRPr="00D12301">
        <w:rPr>
          <w:rFonts w:eastAsia="Times New Roman"/>
          <w:bCs/>
          <w:szCs w:val="24"/>
        </w:rPr>
        <w:t xml:space="preserve">. </w:t>
      </w:r>
      <w:r w:rsidR="009E3064">
        <w:rPr>
          <w:rFonts w:eastAsia="Times New Roman"/>
          <w:bCs/>
          <w:szCs w:val="24"/>
        </w:rPr>
        <w:t xml:space="preserve">Tanto o método biológico quanto o químico </w:t>
      </w:r>
      <w:r w:rsidR="0084638D" w:rsidRPr="00D12301">
        <w:rPr>
          <w:rFonts w:eastAsia="Times New Roman"/>
          <w:bCs/>
          <w:szCs w:val="24"/>
        </w:rPr>
        <w:t xml:space="preserve">pode ser eficiente para </w:t>
      </w:r>
      <w:r w:rsidR="0084638D">
        <w:rPr>
          <w:rFonts w:eastAsia="Times New Roman"/>
          <w:bCs/>
          <w:szCs w:val="24"/>
        </w:rPr>
        <w:t>herbicidas</w:t>
      </w:r>
      <w:r w:rsidR="0084638D" w:rsidRPr="00D12301">
        <w:rPr>
          <w:rFonts w:eastAsia="Times New Roman"/>
          <w:bCs/>
          <w:szCs w:val="24"/>
        </w:rPr>
        <w:t xml:space="preserve"> aplicados em altas doses </w:t>
      </w:r>
      <w:r w:rsidR="009E3064">
        <w:rPr>
          <w:rFonts w:eastAsia="Times New Roman"/>
          <w:bCs/>
          <w:szCs w:val="24"/>
        </w:rPr>
        <w:t xml:space="preserve">e também para aqueles aplicados </w:t>
      </w:r>
      <w:r w:rsidR="0084638D" w:rsidRPr="00D12301">
        <w:rPr>
          <w:rFonts w:eastAsia="Times New Roman"/>
          <w:bCs/>
          <w:szCs w:val="24"/>
        </w:rPr>
        <w:t>em doses extremamente baixas (</w:t>
      </w:r>
      <w:proofErr w:type="spellStart"/>
      <w:r w:rsidR="0084638D" w:rsidRPr="00D12301">
        <w:rPr>
          <w:rFonts w:eastAsia="Times New Roman"/>
          <w:bCs/>
          <w:szCs w:val="24"/>
        </w:rPr>
        <w:t>Pessala</w:t>
      </w:r>
      <w:proofErr w:type="spellEnd"/>
      <w:r w:rsidR="0084638D" w:rsidRPr="00D12301">
        <w:rPr>
          <w:rFonts w:eastAsia="Times New Roman"/>
          <w:bCs/>
          <w:szCs w:val="24"/>
        </w:rPr>
        <w:t xml:space="preserve"> et al., 2004). Nos ensaios biológicos é realizada a monitoração ativa, pois neles são utilizados organismos-teste</w:t>
      </w:r>
      <w:r w:rsidR="0084638D">
        <w:rPr>
          <w:rFonts w:eastAsia="Times New Roman"/>
          <w:bCs/>
          <w:szCs w:val="24"/>
        </w:rPr>
        <w:t>,</w:t>
      </w:r>
      <w:r w:rsidR="0084638D" w:rsidRPr="00D12301">
        <w:rPr>
          <w:rFonts w:eastAsia="Times New Roman"/>
          <w:bCs/>
          <w:szCs w:val="24"/>
        </w:rPr>
        <w:t xml:space="preserve"> altamente sensíveis ao herbicida. </w:t>
      </w:r>
      <w:r w:rsidR="0084638D">
        <w:rPr>
          <w:rFonts w:eastAsia="Times New Roman"/>
          <w:bCs/>
          <w:szCs w:val="24"/>
        </w:rPr>
        <w:t>Normalmente</w:t>
      </w:r>
      <w:r w:rsidR="0084638D" w:rsidRPr="00D12301">
        <w:rPr>
          <w:rFonts w:eastAsia="Times New Roman"/>
          <w:bCs/>
          <w:szCs w:val="24"/>
        </w:rPr>
        <w:t xml:space="preserve"> são realizados em ambiente protegido que permit</w:t>
      </w:r>
      <w:r w:rsidR="0084638D">
        <w:rPr>
          <w:rFonts w:eastAsia="Times New Roman"/>
          <w:bCs/>
          <w:szCs w:val="24"/>
        </w:rPr>
        <w:t>e</w:t>
      </w:r>
      <w:r w:rsidR="0084638D" w:rsidRPr="00D12301">
        <w:rPr>
          <w:rFonts w:eastAsia="Times New Roman"/>
          <w:bCs/>
          <w:szCs w:val="24"/>
        </w:rPr>
        <w:t xml:space="preserve"> ótimo crescimento da espécie indicadora (</w:t>
      </w:r>
      <w:proofErr w:type="spellStart"/>
      <w:r w:rsidR="0084638D" w:rsidRPr="00D12301">
        <w:rPr>
          <w:rFonts w:eastAsia="Times New Roman"/>
          <w:bCs/>
          <w:szCs w:val="24"/>
        </w:rPr>
        <w:t>Raya</w:t>
      </w:r>
      <w:proofErr w:type="spellEnd"/>
      <w:r w:rsidR="0084638D" w:rsidRPr="00D12301">
        <w:rPr>
          <w:rFonts w:eastAsia="Times New Roman"/>
          <w:bCs/>
          <w:szCs w:val="24"/>
        </w:rPr>
        <w:t>-Rodriguez, 2000). Sua utilização fundamenta-se na exposição dos organismos-teste a várias concentrações de uma ou mais substâncias, ou fatores ambientais, durante um período de tempo suficiente para ocorrer à resposta biológica (</w:t>
      </w:r>
      <w:proofErr w:type="spellStart"/>
      <w:r w:rsidR="0084638D" w:rsidRPr="00D12301">
        <w:rPr>
          <w:rFonts w:eastAsia="Times New Roman"/>
          <w:bCs/>
          <w:szCs w:val="24"/>
        </w:rPr>
        <w:t>Gherardi</w:t>
      </w:r>
      <w:proofErr w:type="spellEnd"/>
      <w:r w:rsidR="0084638D" w:rsidRPr="00D12301">
        <w:rPr>
          <w:rFonts w:eastAsia="Times New Roman"/>
          <w:bCs/>
          <w:szCs w:val="24"/>
        </w:rPr>
        <w:t>-Goldstein et al., 1990).</w:t>
      </w:r>
      <w:r w:rsidR="0084638D">
        <w:rPr>
          <w:rFonts w:eastAsia="Times New Roman"/>
          <w:bCs/>
          <w:szCs w:val="24"/>
        </w:rPr>
        <w:t xml:space="preserve"> </w:t>
      </w:r>
    </w:p>
    <w:p w14:paraId="1135BBB1" w14:textId="3E8ECF09" w:rsidR="00CF2199" w:rsidRDefault="0084638D" w:rsidP="002E5C01">
      <w:pPr>
        <w:spacing w:after="0" w:line="480" w:lineRule="auto"/>
        <w:ind w:firstLine="708"/>
        <w:jc w:val="both"/>
      </w:pPr>
      <w:r>
        <w:t xml:space="preserve">O primeiro passo para a realização de um </w:t>
      </w:r>
      <w:proofErr w:type="spellStart"/>
      <w:r>
        <w:t>bioensaio</w:t>
      </w:r>
      <w:proofErr w:type="spellEnd"/>
      <w:r>
        <w:t xml:space="preserve"> envolvendo herbicidas é a seleção de plantas que apresentem alta sensibilidade a um composto espec</w:t>
      </w:r>
      <w:r w:rsidR="00EA4C7A">
        <w:t>í</w:t>
      </w:r>
      <w:r>
        <w:t>fico e seja de fácil condução em substratos em casa de vegetação, além é claro, de apresentarem sintomatologia de fácil visualização para a realização de avaliações de intoxicação.</w:t>
      </w:r>
    </w:p>
    <w:p w14:paraId="5CF5FD3F" w14:textId="1D36D140" w:rsidR="00F31E50" w:rsidRDefault="00E32D87" w:rsidP="002E5C01">
      <w:pPr>
        <w:tabs>
          <w:tab w:val="left" w:pos="709"/>
        </w:tabs>
        <w:spacing w:before="240" w:after="0" w:line="480" w:lineRule="auto"/>
        <w:jc w:val="both"/>
      </w:pPr>
      <w:r>
        <w:tab/>
      </w:r>
      <w:r w:rsidR="009E3064">
        <w:t>Para m</w:t>
      </w:r>
      <w:r w:rsidR="0084638D">
        <w:t xml:space="preserve">uitos herbicidas já </w:t>
      </w:r>
      <w:r w:rsidR="009E3064">
        <w:t xml:space="preserve">existem resultados de pesquisa </w:t>
      </w:r>
      <w:r w:rsidR="0084638D">
        <w:t>que indi</w:t>
      </w:r>
      <w:r w:rsidR="009E3064">
        <w:t>cam</w:t>
      </w:r>
      <w:r w:rsidR="0084638D">
        <w:t xml:space="preserve"> quais plantas </w:t>
      </w:r>
      <w:r w:rsidR="009E3064">
        <w:t>podem ser utilizadas como indicadoras para detecção de seus resíduos no ambiente. Entretanto, as</w:t>
      </w:r>
      <w:r w:rsidR="0084638D">
        <w:t xml:space="preserve"> moléculas</w:t>
      </w:r>
      <w:r w:rsidR="009E3064">
        <w:t xml:space="preserve"> </w:t>
      </w:r>
      <w:r w:rsidR="0084638D">
        <w:t>que estão sendo incorporadas recentemente no mercado carecem de</w:t>
      </w:r>
      <w:r w:rsidR="009E3064">
        <w:t>sse tipo de</w:t>
      </w:r>
      <w:r w:rsidR="0084638D">
        <w:t xml:space="preserve"> estudo, como é o caso do</w:t>
      </w:r>
      <w:r w:rsidR="00D174E9">
        <w:t xml:space="preserve"> </w:t>
      </w:r>
      <w:r w:rsidR="00863411">
        <w:t>saflufenacil</w:t>
      </w:r>
      <w:r w:rsidR="00FF086B">
        <w:t xml:space="preserve"> </w:t>
      </w:r>
      <w:r w:rsidR="00FB0D71">
        <w:t>{2-chloro-4-fluoro-5-[3-methyl-2,6-dioxo-4-(trifluoromethyl)pyrimidin-1-yl]-N-[methyl(propano-2-yl)sulfamoylbenzamide}</w:t>
      </w:r>
      <w:r w:rsidR="009E3064">
        <w:t xml:space="preserve">.Este </w:t>
      </w:r>
      <w:r w:rsidR="00D174E9">
        <w:t>herbicida</w:t>
      </w:r>
      <w:r w:rsidR="00CF2199">
        <w:t xml:space="preserve"> </w:t>
      </w:r>
      <w:r w:rsidR="009E3064">
        <w:t>está sendo muito</w:t>
      </w:r>
      <w:r w:rsidR="00D174E9">
        <w:t xml:space="preserve"> utilizado </w:t>
      </w:r>
      <w:r w:rsidR="00F703D1">
        <w:t xml:space="preserve">no Brasil </w:t>
      </w:r>
      <w:r w:rsidR="00D174E9">
        <w:t xml:space="preserve">em </w:t>
      </w:r>
      <w:proofErr w:type="spellStart"/>
      <w:r w:rsidR="00D174E9">
        <w:t>pré</w:t>
      </w:r>
      <w:proofErr w:type="spellEnd"/>
      <w:r w:rsidR="00D174E9">
        <w:t xml:space="preserve">-emergência para o controle de plantas daninhas </w:t>
      </w:r>
      <w:proofErr w:type="spellStart"/>
      <w:r w:rsidR="00D174E9">
        <w:t>eudicotiledôneas</w:t>
      </w:r>
      <w:proofErr w:type="spellEnd"/>
      <w:r w:rsidR="00D174E9">
        <w:t xml:space="preserve"> nas principais culturas agrícolas do país</w:t>
      </w:r>
      <w:r w:rsidR="00512940">
        <w:t xml:space="preserve"> (MAPA, 2018)</w:t>
      </w:r>
      <w:r w:rsidR="00F703D1">
        <w:t xml:space="preserve">. Além disso é </w:t>
      </w:r>
      <w:r w:rsidR="00CF2199">
        <w:t>uma alternativa muito utilizada no manejo de plantas daninhas resistentes</w:t>
      </w:r>
      <w:r w:rsidR="00D174E9">
        <w:t xml:space="preserve"> </w:t>
      </w:r>
      <w:r w:rsidR="00F703D1">
        <w:t xml:space="preserve">a outros herbicidas </w:t>
      </w:r>
      <w:r w:rsidR="00F703D1" w:rsidRPr="00512940">
        <w:t xml:space="preserve">como a </w:t>
      </w:r>
      <w:proofErr w:type="spellStart"/>
      <w:r w:rsidR="00F703D1" w:rsidRPr="00512940">
        <w:t>buva</w:t>
      </w:r>
      <w:proofErr w:type="spellEnd"/>
      <w:r w:rsidR="00FE54E9">
        <w:t xml:space="preserve"> </w:t>
      </w:r>
      <w:r w:rsidR="009A327D">
        <w:t xml:space="preserve">(Budd et al., 2017; </w:t>
      </w:r>
      <w:r w:rsidR="009A327D" w:rsidRPr="00F83F39">
        <w:t>Montgomery</w:t>
      </w:r>
      <w:r w:rsidR="009A327D">
        <w:t xml:space="preserve"> et al., 2017) e o caruru </w:t>
      </w:r>
      <w:proofErr w:type="spellStart"/>
      <w:r w:rsidR="009A327D">
        <w:t>palmeri</w:t>
      </w:r>
      <w:proofErr w:type="spellEnd"/>
      <w:r w:rsidR="009A327D">
        <w:t xml:space="preserve"> (Crow et al., 2015; Rios et al., 2016)</w:t>
      </w:r>
      <w:r w:rsidR="00D174E9">
        <w:t>.</w:t>
      </w:r>
      <w:r w:rsidR="0057392E">
        <w:t xml:space="preserve"> </w:t>
      </w:r>
    </w:p>
    <w:p w14:paraId="42C61D2E" w14:textId="5ABE7C50" w:rsidR="00A00C74" w:rsidRDefault="00FA0633" w:rsidP="002E5C01">
      <w:pPr>
        <w:spacing w:line="480" w:lineRule="auto"/>
        <w:ind w:firstLine="708"/>
        <w:jc w:val="both"/>
      </w:pPr>
      <w:r>
        <w:lastRenderedPageBreak/>
        <w:t xml:space="preserve">Diversos autores </w:t>
      </w:r>
      <w:r w:rsidR="00F703D1">
        <w:t xml:space="preserve">(Vivian et al., 2006; Melo et al., 2010; Freitas et al., 2014; Braga et al., 2010) </w:t>
      </w:r>
      <w:r>
        <w:t xml:space="preserve">relataram </w:t>
      </w:r>
      <w:r w:rsidR="00F62DEE">
        <w:t xml:space="preserve">que </w:t>
      </w:r>
      <w:r>
        <w:t>o sorgo (</w:t>
      </w:r>
      <w:proofErr w:type="spellStart"/>
      <w:r w:rsidR="007727E2">
        <w:rPr>
          <w:i/>
        </w:rPr>
        <w:t>S</w:t>
      </w:r>
      <w:r w:rsidRPr="00FA0633">
        <w:rPr>
          <w:i/>
        </w:rPr>
        <w:t>orghum</w:t>
      </w:r>
      <w:proofErr w:type="spellEnd"/>
      <w:r w:rsidRPr="00FA0633">
        <w:rPr>
          <w:i/>
        </w:rPr>
        <w:t xml:space="preserve"> bicolor</w:t>
      </w:r>
      <w:r>
        <w:t xml:space="preserve">) </w:t>
      </w:r>
      <w:r w:rsidR="00F62DEE">
        <w:t xml:space="preserve">pode ser utilizado como </w:t>
      </w:r>
      <w:r>
        <w:t xml:space="preserve">espécie indicadora da presença de </w:t>
      </w:r>
      <w:r w:rsidR="00F703D1">
        <w:t xml:space="preserve">herbicidas inibidores da </w:t>
      </w:r>
      <w:r w:rsidR="00A00C74">
        <w:t>PROTOX na</w:t>
      </w:r>
      <w:r w:rsidR="00F703D1">
        <w:t xml:space="preserve"> solução do solo. Entretanto, em nenhum desses estudos foi avaliado o saflufenacil</w:t>
      </w:r>
      <w:r w:rsidR="0020768A">
        <w:t>.</w:t>
      </w:r>
      <w:r w:rsidR="00CF2199">
        <w:t xml:space="preserve"> Já estudos realizados por</w:t>
      </w:r>
      <w:r w:rsidR="00F62DEE">
        <w:t xml:space="preserve"> </w:t>
      </w:r>
      <w:proofErr w:type="spellStart"/>
      <w:r w:rsidR="00FB0D71">
        <w:t>Gannon</w:t>
      </w:r>
      <w:proofErr w:type="spellEnd"/>
      <w:r w:rsidR="00FB0D71">
        <w:t xml:space="preserve"> </w:t>
      </w:r>
      <w:r w:rsidR="00A23F8B">
        <w:t xml:space="preserve">et al. (2014) </w:t>
      </w:r>
      <w:r w:rsidR="00F703D1">
        <w:t>indicam</w:t>
      </w:r>
      <w:r w:rsidR="00F62DEE">
        <w:t xml:space="preserve"> </w:t>
      </w:r>
      <w:r w:rsidR="00A23F8B">
        <w:t>a canola (</w:t>
      </w:r>
      <w:proofErr w:type="spellStart"/>
      <w:r w:rsidR="00A23F8B" w:rsidRPr="00A23F8B">
        <w:rPr>
          <w:i/>
        </w:rPr>
        <w:t>Brassica</w:t>
      </w:r>
      <w:proofErr w:type="spellEnd"/>
      <w:r w:rsidR="00A23F8B" w:rsidRPr="00A23F8B">
        <w:rPr>
          <w:i/>
        </w:rPr>
        <w:t xml:space="preserve"> </w:t>
      </w:r>
      <w:proofErr w:type="spellStart"/>
      <w:r w:rsidR="00A23F8B" w:rsidRPr="00A23F8B">
        <w:rPr>
          <w:i/>
        </w:rPr>
        <w:t>napus</w:t>
      </w:r>
      <w:proofErr w:type="spellEnd"/>
      <w:r w:rsidR="00A23F8B">
        <w:t xml:space="preserve">) </w:t>
      </w:r>
      <w:r w:rsidR="00F703D1">
        <w:t>como</w:t>
      </w:r>
      <w:r w:rsidR="00A23F8B">
        <w:t xml:space="preserve"> espécie altamente sensível ao saflufenacil</w:t>
      </w:r>
      <w:r w:rsidR="00F703D1">
        <w:t>. Este</w:t>
      </w:r>
      <w:r w:rsidR="00F62DEE">
        <w:t xml:space="preserve"> ensaio foi realizado nos</w:t>
      </w:r>
      <w:r w:rsidR="00462CD2" w:rsidRPr="00183C6E">
        <w:t xml:space="preserve"> </w:t>
      </w:r>
      <w:r w:rsidR="00183C6E" w:rsidRPr="00183C6E">
        <w:t>Estados Unidos</w:t>
      </w:r>
      <w:r w:rsidR="00F62DEE">
        <w:t>, em condições climáticas muito diferentes das encontradas no Brasil</w:t>
      </w:r>
      <w:r w:rsidR="00A23F8B">
        <w:t xml:space="preserve">. </w:t>
      </w:r>
      <w:r w:rsidR="00A00C74">
        <w:t xml:space="preserve">É importante salientar que para uma espécie ser considerada ideal para ensaios biológicos ela deve </w:t>
      </w:r>
      <w:r w:rsidR="00CC0997">
        <w:t>ser</w:t>
      </w:r>
      <w:r w:rsidR="00A00C74">
        <w:t xml:space="preserve"> de fácil cultivo, crescimento rápido e permite rápida visualização dos sintomas de intoxicação.</w:t>
      </w:r>
    </w:p>
    <w:p w14:paraId="641C01BD" w14:textId="1B064A7E" w:rsidR="00267CD8" w:rsidRPr="005A0384" w:rsidRDefault="00A00C74" w:rsidP="002E5C01">
      <w:pPr>
        <w:spacing w:line="480" w:lineRule="auto"/>
        <w:ind w:firstLine="708"/>
        <w:jc w:val="both"/>
      </w:pPr>
      <w:r>
        <w:t>Esta pesquisa teve</w:t>
      </w:r>
      <w:r w:rsidR="00CC0997">
        <w:t xml:space="preserve"> por</w:t>
      </w:r>
      <w:r w:rsidR="00267CD8">
        <w:t xml:space="preserve"> objetivo selecionar uma espécie</w:t>
      </w:r>
      <w:r w:rsidR="001571CD">
        <w:t xml:space="preserve"> </w:t>
      </w:r>
      <w:r>
        <w:t>vegetal para ser utilizada como indicadora para estudos da dinâmica do saflufenacil em solos tropicais.</w:t>
      </w:r>
      <w:r w:rsidR="00267CD8">
        <w:t xml:space="preserve"> </w:t>
      </w:r>
    </w:p>
    <w:p w14:paraId="217B9723" w14:textId="612BD20D" w:rsidR="00080645" w:rsidRPr="00E73CB8" w:rsidRDefault="00080645" w:rsidP="00A06E4F">
      <w:pPr>
        <w:spacing w:line="480" w:lineRule="auto"/>
        <w:jc w:val="center"/>
        <w:rPr>
          <w:b/>
        </w:rPr>
      </w:pPr>
      <w:r w:rsidRPr="00E73CB8">
        <w:rPr>
          <w:b/>
        </w:rPr>
        <w:t>M</w:t>
      </w:r>
      <w:r w:rsidR="00A06E4F" w:rsidRPr="00E73CB8">
        <w:rPr>
          <w:b/>
        </w:rPr>
        <w:t>aterial e métodos</w:t>
      </w:r>
    </w:p>
    <w:p w14:paraId="7F64566D" w14:textId="2D9E7BDB" w:rsidR="0053288E" w:rsidRDefault="00C800EB" w:rsidP="002E5C01">
      <w:pPr>
        <w:spacing w:before="120" w:after="120" w:line="480" w:lineRule="auto"/>
        <w:ind w:firstLine="708"/>
        <w:jc w:val="both"/>
      </w:pPr>
      <w:r>
        <w:t>Este ensaio foi conduzido em casa de vegetação em condições controladas de temperatura e irrigação</w:t>
      </w:r>
      <w:r w:rsidR="0053288E">
        <w:t>, na</w:t>
      </w:r>
      <w:r w:rsidR="00080645">
        <w:t xml:space="preserve"> Universidade </w:t>
      </w:r>
      <w:r w:rsidR="00A06E4F" w:rsidRPr="00A06E4F">
        <w:rPr>
          <w:color w:val="FF0000"/>
        </w:rPr>
        <w:t>XXXXXXXXX</w:t>
      </w:r>
      <w:r w:rsidR="00080645">
        <w:t xml:space="preserve">. </w:t>
      </w:r>
      <w:r w:rsidR="0053288E">
        <w:t xml:space="preserve">O primeiro passo foi selecionar quais espécies seriam testadas, </w:t>
      </w:r>
      <w:r w:rsidR="00E471F8">
        <w:t xml:space="preserve">onde </w:t>
      </w:r>
      <w:r w:rsidR="0053288E">
        <w:t xml:space="preserve">o critério adotado para seleção foram plantas que apresentavam histórico de sensibilidade a herbicidas no campo, que apresentam rápido crescimento e que se adaptam bem </w:t>
      </w:r>
      <w:r w:rsidR="00924780">
        <w:t>à</w:t>
      </w:r>
      <w:r w:rsidR="0053288E">
        <w:t>s condições de vasos e casa de vegetação. Com isto a</w:t>
      </w:r>
      <w:r w:rsidR="007B27DE">
        <w:t>s</w:t>
      </w:r>
      <w:r w:rsidR="0053288E">
        <w:t xml:space="preserve"> seguintes espécies foram escolhidas: </w:t>
      </w:r>
      <w:r w:rsidR="00924780">
        <w:t>abóbora</w:t>
      </w:r>
      <w:r w:rsidR="0053288E">
        <w:t xml:space="preserve"> (</w:t>
      </w:r>
      <w:proofErr w:type="spellStart"/>
      <w:r w:rsidR="0053288E" w:rsidRPr="009B1A1F">
        <w:rPr>
          <w:i/>
        </w:rPr>
        <w:t>Curcubita</w:t>
      </w:r>
      <w:proofErr w:type="spellEnd"/>
      <w:r w:rsidR="0053288E" w:rsidRPr="009B1A1F">
        <w:rPr>
          <w:i/>
        </w:rPr>
        <w:t xml:space="preserve"> </w:t>
      </w:r>
      <w:proofErr w:type="spellStart"/>
      <w:r w:rsidR="0053288E" w:rsidRPr="009B1A1F">
        <w:rPr>
          <w:i/>
        </w:rPr>
        <w:t>pepo</w:t>
      </w:r>
      <w:proofErr w:type="spellEnd"/>
      <w:r w:rsidR="0053288E">
        <w:t>), beterraba (</w:t>
      </w:r>
      <w:r w:rsidR="0053288E" w:rsidRPr="009B1A1F">
        <w:rPr>
          <w:i/>
        </w:rPr>
        <w:t xml:space="preserve">Beta </w:t>
      </w:r>
      <w:proofErr w:type="spellStart"/>
      <w:r w:rsidR="0053288E" w:rsidRPr="009B1A1F">
        <w:rPr>
          <w:i/>
        </w:rPr>
        <w:t>vulgaris</w:t>
      </w:r>
      <w:proofErr w:type="spellEnd"/>
      <w:r w:rsidR="0053288E">
        <w:t>), cenoura (</w:t>
      </w:r>
      <w:proofErr w:type="spellStart"/>
      <w:r w:rsidR="0053288E" w:rsidRPr="009B1A1F">
        <w:rPr>
          <w:i/>
        </w:rPr>
        <w:t>Daucus</w:t>
      </w:r>
      <w:proofErr w:type="spellEnd"/>
      <w:r w:rsidR="0053288E" w:rsidRPr="009B1A1F">
        <w:rPr>
          <w:i/>
        </w:rPr>
        <w:t xml:space="preserve"> </w:t>
      </w:r>
      <w:proofErr w:type="spellStart"/>
      <w:r w:rsidR="0053288E" w:rsidRPr="009B1A1F">
        <w:rPr>
          <w:i/>
        </w:rPr>
        <w:t>carota</w:t>
      </w:r>
      <w:proofErr w:type="spellEnd"/>
      <w:r w:rsidR="0053288E">
        <w:t xml:space="preserve"> L.),</w:t>
      </w:r>
      <w:r w:rsidR="0053288E" w:rsidRPr="009B1A1F">
        <w:t xml:space="preserve"> </w:t>
      </w:r>
      <w:r w:rsidR="00924780">
        <w:t>melancia</w:t>
      </w:r>
      <w:r w:rsidR="0053288E">
        <w:t xml:space="preserve"> (</w:t>
      </w:r>
      <w:proofErr w:type="spellStart"/>
      <w:r w:rsidR="0053288E" w:rsidRPr="0077128C">
        <w:rPr>
          <w:i/>
        </w:rPr>
        <w:t>Citrullus</w:t>
      </w:r>
      <w:proofErr w:type="spellEnd"/>
      <w:r w:rsidR="0053288E" w:rsidRPr="0077128C">
        <w:rPr>
          <w:i/>
        </w:rPr>
        <w:t xml:space="preserve"> </w:t>
      </w:r>
      <w:proofErr w:type="spellStart"/>
      <w:r w:rsidR="0053288E" w:rsidRPr="0077128C">
        <w:rPr>
          <w:i/>
        </w:rPr>
        <w:t>lanatus</w:t>
      </w:r>
      <w:proofErr w:type="spellEnd"/>
      <w:r w:rsidR="0053288E">
        <w:t xml:space="preserve">), </w:t>
      </w:r>
      <w:r w:rsidR="00924780">
        <w:t xml:space="preserve">pepino </w:t>
      </w:r>
      <w:r w:rsidR="0053288E">
        <w:t>(</w:t>
      </w:r>
      <w:proofErr w:type="spellStart"/>
      <w:r w:rsidR="0053288E" w:rsidRPr="0077128C">
        <w:rPr>
          <w:i/>
        </w:rPr>
        <w:t>Cucumis</w:t>
      </w:r>
      <w:proofErr w:type="spellEnd"/>
      <w:r w:rsidR="0053288E" w:rsidRPr="0077128C">
        <w:rPr>
          <w:i/>
        </w:rPr>
        <w:t xml:space="preserve"> </w:t>
      </w:r>
      <w:proofErr w:type="spellStart"/>
      <w:r w:rsidR="0053288E" w:rsidRPr="0077128C">
        <w:rPr>
          <w:i/>
        </w:rPr>
        <w:t>sativus</w:t>
      </w:r>
      <w:proofErr w:type="spellEnd"/>
      <w:r w:rsidR="0053288E">
        <w:t xml:space="preserve"> L.), sorgo (</w:t>
      </w:r>
      <w:proofErr w:type="spellStart"/>
      <w:r w:rsidR="0053288E" w:rsidRPr="0077128C">
        <w:rPr>
          <w:i/>
        </w:rPr>
        <w:t>Sorghum</w:t>
      </w:r>
      <w:proofErr w:type="spellEnd"/>
      <w:r w:rsidR="0053288E" w:rsidRPr="0077128C">
        <w:rPr>
          <w:i/>
        </w:rPr>
        <w:t xml:space="preserve"> bicolor</w:t>
      </w:r>
      <w:r w:rsidR="0053288E">
        <w:t xml:space="preserve">) e </w:t>
      </w:r>
      <w:r w:rsidR="00924780">
        <w:t xml:space="preserve">tomate </w:t>
      </w:r>
      <w:r w:rsidR="0053288E">
        <w:t>(</w:t>
      </w:r>
      <w:proofErr w:type="spellStart"/>
      <w:r w:rsidR="0053288E" w:rsidRPr="00610650">
        <w:rPr>
          <w:i/>
        </w:rPr>
        <w:t>Solanum</w:t>
      </w:r>
      <w:proofErr w:type="spellEnd"/>
      <w:r w:rsidR="0053288E" w:rsidRPr="00610650">
        <w:rPr>
          <w:i/>
        </w:rPr>
        <w:t xml:space="preserve"> </w:t>
      </w:r>
      <w:proofErr w:type="spellStart"/>
      <w:r w:rsidR="0053288E" w:rsidRPr="00610650">
        <w:rPr>
          <w:i/>
        </w:rPr>
        <w:t>lycopersicum</w:t>
      </w:r>
      <w:proofErr w:type="spellEnd"/>
      <w:r w:rsidR="0053288E" w:rsidRPr="00610650">
        <w:rPr>
          <w:i/>
        </w:rPr>
        <w:t xml:space="preserve"> </w:t>
      </w:r>
      <w:r w:rsidR="0053288E" w:rsidRPr="00610650">
        <w:t>L</w:t>
      </w:r>
      <w:r w:rsidR="0053288E">
        <w:t>.).</w:t>
      </w:r>
    </w:p>
    <w:p w14:paraId="1D61EDA3" w14:textId="5B649239" w:rsidR="00080645" w:rsidRDefault="00A00C74" w:rsidP="002E5C01">
      <w:pPr>
        <w:spacing w:before="120" w:after="120" w:line="480" w:lineRule="auto"/>
        <w:ind w:firstLine="708"/>
        <w:jc w:val="both"/>
      </w:pPr>
      <w:r>
        <w:t xml:space="preserve">Todas essas </w:t>
      </w:r>
      <w:r w:rsidR="00080645">
        <w:t xml:space="preserve">espécies </w:t>
      </w:r>
      <w:r>
        <w:t xml:space="preserve">vegetais </w:t>
      </w:r>
      <w:r w:rsidR="00F91925">
        <w:t xml:space="preserve">foram </w:t>
      </w:r>
      <w:r w:rsidR="00080645">
        <w:t xml:space="preserve">semeadas em substrato inerte (areia lavada). </w:t>
      </w:r>
      <w:r w:rsidR="0053288E">
        <w:t xml:space="preserve">Este substrato foi </w:t>
      </w:r>
      <w:r w:rsidR="00080645">
        <w:t xml:space="preserve">peneirado </w:t>
      </w:r>
      <w:r w:rsidR="00EF2E0E">
        <w:t xml:space="preserve">em </w:t>
      </w:r>
      <w:r w:rsidR="00080645">
        <w:t>malha de 4 mm</w:t>
      </w:r>
      <w:r w:rsidR="00EF2E0E">
        <w:t xml:space="preserve"> e lavado</w:t>
      </w:r>
      <w:r w:rsidR="00080645">
        <w:t xml:space="preserve"> em água corrente até retirar o excesso de impurezas. </w:t>
      </w:r>
      <w:r w:rsidR="000D7979">
        <w:t>Posteriormente</w:t>
      </w:r>
      <w:r w:rsidR="00080645">
        <w:t>, a areia fi</w:t>
      </w:r>
      <w:r w:rsidR="00F91925">
        <w:t>cou</w:t>
      </w:r>
      <w:r w:rsidR="00080645">
        <w:t xml:space="preserve"> incubada com ácido clorídrico PA, diluído em água, numa concentração de 600 </w:t>
      </w:r>
      <w:proofErr w:type="spellStart"/>
      <w:r w:rsidR="00080645">
        <w:t>mL</w:t>
      </w:r>
      <w:proofErr w:type="spellEnd"/>
      <w:r w:rsidR="00080645">
        <w:t xml:space="preserve"> de ácido para cada 10 L de água</w:t>
      </w:r>
      <w:r w:rsidR="005240EF">
        <w:t>. M</w:t>
      </w:r>
      <w:r w:rsidR="00080645">
        <w:t>ante</w:t>
      </w:r>
      <w:r w:rsidR="005240EF">
        <w:t>ve</w:t>
      </w:r>
      <w:r w:rsidR="00080645">
        <w:t>-se</w:t>
      </w:r>
      <w:r w:rsidR="005240EF">
        <w:t xml:space="preserve"> por 36 horas </w:t>
      </w:r>
      <w:r w:rsidR="00080645">
        <w:t xml:space="preserve">uma </w:t>
      </w:r>
      <w:r w:rsidR="00080645">
        <w:lastRenderedPageBreak/>
        <w:t>lâmina de 10 cm d</w:t>
      </w:r>
      <w:r w:rsidR="005240EF">
        <w:t>a</w:t>
      </w:r>
      <w:r w:rsidR="00080645">
        <w:t xml:space="preserve"> </w:t>
      </w:r>
      <w:r w:rsidR="005240EF">
        <w:t xml:space="preserve">solução </w:t>
      </w:r>
      <w:r w:rsidR="00080645">
        <w:t>ácid</w:t>
      </w:r>
      <w:r w:rsidR="005240EF">
        <w:t>a</w:t>
      </w:r>
      <w:r w:rsidR="00080645">
        <w:t xml:space="preserve"> acima do nível da areia, para </w:t>
      </w:r>
      <w:r w:rsidR="000D7979">
        <w:t>queima</w:t>
      </w:r>
      <w:r w:rsidR="00080645">
        <w:t xml:space="preserve"> do material orgânico presente. Após esse período, novamente a areia </w:t>
      </w:r>
      <w:r w:rsidR="00F91925">
        <w:t>foi</w:t>
      </w:r>
      <w:r w:rsidR="00080645">
        <w:t xml:space="preserve"> lavada em água corrente para retirar o excesso de ácido, elevando-se o pH próximo a 7,0.</w:t>
      </w:r>
    </w:p>
    <w:p w14:paraId="50E64A79" w14:textId="67244C05" w:rsidR="00A029CA" w:rsidRDefault="00A029CA" w:rsidP="002E5C01">
      <w:pPr>
        <w:spacing w:before="120" w:after="120" w:line="480" w:lineRule="auto"/>
        <w:ind w:firstLine="708"/>
        <w:jc w:val="both"/>
      </w:pPr>
      <w:r>
        <w:t xml:space="preserve">O </w:t>
      </w:r>
      <w:r w:rsidR="0053288E">
        <w:t xml:space="preserve">ensaio foi conduzido em </w:t>
      </w:r>
      <w:r>
        <w:t xml:space="preserve">delineamento inteiramente </w:t>
      </w:r>
      <w:proofErr w:type="spellStart"/>
      <w:r>
        <w:t>casualizado</w:t>
      </w:r>
      <w:proofErr w:type="spellEnd"/>
      <w:r>
        <w:t xml:space="preserve">, em esquema fatorial 7 x 7, com quatro repetições, em que o </w:t>
      </w:r>
      <w:r w:rsidR="00E471F8">
        <w:t>primeiro fator</w:t>
      </w:r>
      <w:r>
        <w:t xml:space="preserve"> constituiu-se </w:t>
      </w:r>
      <w:r w:rsidR="008602F3">
        <w:t>das sete esp</w:t>
      </w:r>
      <w:r w:rsidR="00924780">
        <w:t>é</w:t>
      </w:r>
      <w:r w:rsidR="008602F3">
        <w:t xml:space="preserve">cies </w:t>
      </w:r>
      <w:r>
        <w:t xml:space="preserve">testadas, e o </w:t>
      </w:r>
      <w:r w:rsidR="00E471F8">
        <w:t xml:space="preserve">segundo </w:t>
      </w:r>
      <w:r>
        <w:t xml:space="preserve">fator, </w:t>
      </w:r>
      <w:r w:rsidR="008602F3">
        <w:t xml:space="preserve">de </w:t>
      </w:r>
      <w:r>
        <w:t xml:space="preserve">doses </w:t>
      </w:r>
      <w:r w:rsidR="008602F3">
        <w:t xml:space="preserve">crescentes </w:t>
      </w:r>
      <w:r>
        <w:t>do herbicida (0; 0,625; 1,25; 2,50; 5,0; 10,0 e 20,0 g ha</w:t>
      </w:r>
      <w:r w:rsidRPr="00582381">
        <w:rPr>
          <w:vertAlign w:val="superscript"/>
        </w:rPr>
        <w:t>-1</w:t>
      </w:r>
      <w:r>
        <w:t xml:space="preserve"> de saflufenacil</w:t>
      </w:r>
      <w:r w:rsidR="005A4165">
        <w:t xml:space="preserve"> (</w:t>
      </w:r>
      <w:proofErr w:type="spellStart"/>
      <w:r w:rsidR="005A4165">
        <w:t>Heat</w:t>
      </w:r>
      <w:proofErr w:type="spellEnd"/>
      <w:r w:rsidR="00ED74DF">
        <w:t>, 700 g kg</w:t>
      </w:r>
      <w:r w:rsidR="00ED74DF" w:rsidRPr="00ED74DF">
        <w:rPr>
          <w:vertAlign w:val="superscript"/>
        </w:rPr>
        <w:t>-1</w:t>
      </w:r>
      <w:r w:rsidR="00ED74DF">
        <w:t xml:space="preserve"> i. a., WG, BASF</w:t>
      </w:r>
      <w:r>
        <w:t>)</w:t>
      </w:r>
      <w:r w:rsidR="00ED74DF">
        <w:t>)</w:t>
      </w:r>
      <w:r>
        <w:t>.</w:t>
      </w:r>
    </w:p>
    <w:p w14:paraId="50DB2D5B" w14:textId="3831E113" w:rsidR="00080645" w:rsidRDefault="00080645" w:rsidP="002E5C01">
      <w:pPr>
        <w:spacing w:before="120" w:after="120" w:line="480" w:lineRule="auto"/>
        <w:jc w:val="both"/>
      </w:pPr>
      <w:r>
        <w:tab/>
      </w:r>
      <w:r w:rsidR="00887D6D">
        <w:t>As unidades experimentais foram constituídas por vasos plásticos de polipropileno com capacidade para 0,3 dm</w:t>
      </w:r>
      <w:r w:rsidR="00E471F8" w:rsidRPr="00E471F8">
        <w:rPr>
          <w:vertAlign w:val="superscript"/>
        </w:rPr>
        <w:t>3</w:t>
      </w:r>
      <w:r w:rsidR="00887D6D">
        <w:t xml:space="preserve">. </w:t>
      </w:r>
      <w:r>
        <w:t>Para a aplicação do herbicida na superfície dos vasos util</w:t>
      </w:r>
      <w:r w:rsidR="00F91925">
        <w:t>izou-se</w:t>
      </w:r>
      <w:r>
        <w:t xml:space="preserve"> o pulverizador de precisão</w:t>
      </w:r>
      <w:r w:rsidR="00887D6D">
        <w:t>,</w:t>
      </w:r>
      <w:r>
        <w:t xml:space="preserve"> pressurizado a CO</w:t>
      </w:r>
      <w:r w:rsidRPr="00A20021">
        <w:rPr>
          <w:vertAlign w:val="subscript"/>
        </w:rPr>
        <w:t>2</w:t>
      </w:r>
      <w:r>
        <w:t xml:space="preserve">, equipado com barra com duas pontas TT 11002, espaçadas de 0,50 m, </w:t>
      </w:r>
      <w:r>
        <w:rPr>
          <w:szCs w:val="24"/>
        </w:rPr>
        <w:t xml:space="preserve">mantidos à pressão de </w:t>
      </w:r>
      <w:r w:rsidRPr="000B5C21">
        <w:rPr>
          <w:szCs w:val="24"/>
        </w:rPr>
        <w:t>25</w:t>
      </w:r>
      <w:r>
        <w:rPr>
          <w:szCs w:val="24"/>
        </w:rPr>
        <w:t xml:space="preserve"> </w:t>
      </w:r>
      <w:proofErr w:type="spellStart"/>
      <w:r w:rsidRPr="000B5C21">
        <w:rPr>
          <w:szCs w:val="24"/>
        </w:rPr>
        <w:t>lb</w:t>
      </w:r>
      <w:proofErr w:type="spellEnd"/>
      <w:r w:rsidRPr="000B5C21">
        <w:rPr>
          <w:szCs w:val="24"/>
        </w:rPr>
        <w:t xml:space="preserve"> pol</w:t>
      </w:r>
      <w:r w:rsidRPr="00147A5A">
        <w:rPr>
          <w:szCs w:val="24"/>
          <w:vertAlign w:val="superscript"/>
        </w:rPr>
        <w:t>-2</w:t>
      </w:r>
      <w:r w:rsidRPr="000B5C21">
        <w:rPr>
          <w:szCs w:val="24"/>
        </w:rPr>
        <w:t xml:space="preserve"> e volume de calda de 150</w:t>
      </w:r>
      <w:r w:rsidR="005240EF">
        <w:rPr>
          <w:szCs w:val="24"/>
        </w:rPr>
        <w:t xml:space="preserve"> </w:t>
      </w:r>
      <w:r w:rsidRPr="000B5C21">
        <w:rPr>
          <w:szCs w:val="24"/>
        </w:rPr>
        <w:t>L ha</w:t>
      </w:r>
      <w:r w:rsidRPr="00147A5A">
        <w:rPr>
          <w:szCs w:val="24"/>
          <w:vertAlign w:val="superscript"/>
        </w:rPr>
        <w:t>-1</w:t>
      </w:r>
      <w:r w:rsidRPr="000B5C21">
        <w:rPr>
          <w:szCs w:val="24"/>
        </w:rPr>
        <w:t>.</w:t>
      </w:r>
      <w:r>
        <w:t xml:space="preserve"> </w:t>
      </w:r>
      <w:r w:rsidR="00887D6D">
        <w:t>Logo a</w:t>
      </w:r>
      <w:r>
        <w:t>pós a aplicação</w:t>
      </w:r>
      <w:r w:rsidR="00887D6D">
        <w:t>,</w:t>
      </w:r>
      <w:r>
        <w:t xml:space="preserve"> o substrato </w:t>
      </w:r>
      <w:r w:rsidR="00F91925">
        <w:t>foi</w:t>
      </w:r>
      <w:r>
        <w:t xml:space="preserve"> homogeneizado e</w:t>
      </w:r>
      <w:r w:rsidR="00887D6D">
        <w:t xml:space="preserve"> </w:t>
      </w:r>
      <w:r w:rsidR="005240EF">
        <w:t>realiz</w:t>
      </w:r>
      <w:r w:rsidR="00E471F8">
        <w:t>ou-se</w:t>
      </w:r>
      <w:r w:rsidR="005240EF">
        <w:t xml:space="preserve"> </w:t>
      </w:r>
      <w:r>
        <w:t>a semeadura das espécies</w:t>
      </w:r>
      <w:r w:rsidR="005240EF">
        <w:t xml:space="preserve">. </w:t>
      </w:r>
      <w:r>
        <w:t xml:space="preserve">Durante a condução do experimento, os vasos </w:t>
      </w:r>
      <w:r w:rsidR="00F91925">
        <w:t>foram</w:t>
      </w:r>
      <w:r>
        <w:t xml:space="preserve"> irrigados diariamente</w:t>
      </w:r>
      <w:r w:rsidR="008602F3">
        <w:t>, sendo mantidos</w:t>
      </w:r>
      <w:r>
        <w:t xml:space="preserve"> próximos à capacidade de campo e, para o melhor desenvolvimento das plantas, estas </w:t>
      </w:r>
      <w:r w:rsidR="008602F3">
        <w:t>receberam</w:t>
      </w:r>
      <w:r>
        <w:t xml:space="preserve"> solução nutritiva completa</w:t>
      </w:r>
      <w:r w:rsidR="008602F3">
        <w:t>, seguindo recomendações</w:t>
      </w:r>
      <w:r>
        <w:t xml:space="preserve"> de </w:t>
      </w:r>
      <w:proofErr w:type="spellStart"/>
      <w:r>
        <w:t>Hoagland</w:t>
      </w:r>
      <w:proofErr w:type="spellEnd"/>
      <w:r>
        <w:t xml:space="preserve"> e Arnon (1950).</w:t>
      </w:r>
    </w:p>
    <w:p w14:paraId="40DC11DB" w14:textId="0F8556C4" w:rsidR="00080645" w:rsidRDefault="00080645" w:rsidP="002E5C01">
      <w:pPr>
        <w:spacing w:before="120" w:after="120" w:line="480" w:lineRule="auto"/>
        <w:ind w:firstLine="708"/>
        <w:jc w:val="both"/>
      </w:pPr>
      <w:r w:rsidRPr="00CC0997">
        <w:t>Aos 21</w:t>
      </w:r>
      <w:r>
        <w:t xml:space="preserve"> dias após a emergência das plantas (DAE) </w:t>
      </w:r>
      <w:r w:rsidR="00F91925">
        <w:t>foi</w:t>
      </w:r>
      <w:r>
        <w:t xml:space="preserve"> avaliado a percentagem de intoxicação atribuindo notas de 0 (ausência de sintoma) a 100 (morte da planta)</w:t>
      </w:r>
      <w:r w:rsidR="008602F3">
        <w:t xml:space="preserve"> </w:t>
      </w:r>
      <w:r w:rsidR="008602F3" w:rsidRPr="00516E65">
        <w:rPr>
          <w:szCs w:val="24"/>
        </w:rPr>
        <w:t>(ALAM, 1974)</w:t>
      </w:r>
      <w:r>
        <w:t xml:space="preserve">. </w:t>
      </w:r>
    </w:p>
    <w:p w14:paraId="55A5E4E9" w14:textId="554DF8C5" w:rsidR="00080645" w:rsidRDefault="00080645" w:rsidP="002E5C01">
      <w:pPr>
        <w:spacing w:before="120" w:after="120" w:line="480" w:lineRule="auto"/>
        <w:ind w:firstLine="708"/>
        <w:jc w:val="both"/>
      </w:pPr>
      <w:r>
        <w:t xml:space="preserve">Aos 21 DAE </w:t>
      </w:r>
      <w:r w:rsidR="00F91925">
        <w:t>realizou-se</w:t>
      </w:r>
      <w:r>
        <w:t xml:space="preserve"> a colhei</w:t>
      </w:r>
      <w:r w:rsidR="00F91925">
        <w:t>ta do experimento, que consistiu</w:t>
      </w:r>
      <w:r>
        <w:t xml:space="preserve"> no corte da parte aérea na região do coleto das plantas e retirada das raízes em água corrente. Po</w:t>
      </w:r>
      <w:r w:rsidR="00F91925">
        <w:t>steriormente, esse material foi</w:t>
      </w:r>
      <w:r>
        <w:t xml:space="preserve"> </w:t>
      </w:r>
      <w:r w:rsidR="008602F3">
        <w:t>acondicionado em uma</w:t>
      </w:r>
      <w:r>
        <w:t xml:space="preserve"> estufa de circulação forçada de ar (70 ± 2 </w:t>
      </w:r>
      <w:proofErr w:type="spellStart"/>
      <w:r>
        <w:t>ºC</w:t>
      </w:r>
      <w:proofErr w:type="spellEnd"/>
      <w:r>
        <w:t>) até atingir massa constante</w:t>
      </w:r>
      <w:r w:rsidR="008602F3">
        <w:t>, em seguida foi mensurada a massa de matéria seca da parte aérea, raiz e total da planta em uma</w:t>
      </w:r>
      <w:r>
        <w:t xml:space="preserve"> balança de precisão de 0,00</w:t>
      </w:r>
      <w:r w:rsidR="00660D2D">
        <w:t>0</w:t>
      </w:r>
      <w:r>
        <w:t>1 g.</w:t>
      </w:r>
    </w:p>
    <w:p w14:paraId="584B9D21" w14:textId="59B3488A" w:rsidR="00080645" w:rsidRPr="00461342" w:rsidRDefault="00B53629" w:rsidP="002E5C01">
      <w:pPr>
        <w:spacing w:before="120" w:after="120" w:line="480" w:lineRule="auto"/>
        <w:ind w:firstLine="709"/>
        <w:jc w:val="both"/>
        <w:rPr>
          <w:color w:val="FF0000"/>
          <w:szCs w:val="24"/>
        </w:rPr>
      </w:pPr>
      <w:r>
        <w:rPr>
          <w:szCs w:val="24"/>
        </w:rPr>
        <w:t>O</w:t>
      </w:r>
      <w:r w:rsidR="00080645" w:rsidRPr="00382598">
        <w:rPr>
          <w:szCs w:val="24"/>
        </w:rPr>
        <w:t xml:space="preserve">s dados </w:t>
      </w:r>
      <w:r>
        <w:rPr>
          <w:szCs w:val="24"/>
        </w:rPr>
        <w:t>obtidos foram submetidos a</w:t>
      </w:r>
      <w:r w:rsidR="00080645" w:rsidRPr="00382598">
        <w:rPr>
          <w:szCs w:val="24"/>
        </w:rPr>
        <w:t xml:space="preserve"> modelos de dose-resposta do herbicida. Os modelos </w:t>
      </w:r>
      <w:r w:rsidR="000D7979">
        <w:rPr>
          <w:szCs w:val="24"/>
        </w:rPr>
        <w:t>foram</w:t>
      </w:r>
      <w:r w:rsidR="00080645" w:rsidRPr="00382598">
        <w:rPr>
          <w:szCs w:val="24"/>
        </w:rPr>
        <w:t xml:space="preserve"> escolhidos para cada espécie em função do comportamento biológico.</w:t>
      </w:r>
      <w:r w:rsidR="00080645">
        <w:rPr>
          <w:szCs w:val="24"/>
        </w:rPr>
        <w:t xml:space="preserve"> </w:t>
      </w:r>
      <w:r w:rsidR="00F91925">
        <w:rPr>
          <w:szCs w:val="24"/>
        </w:rPr>
        <w:t xml:space="preserve">Os </w:t>
      </w:r>
      <w:r w:rsidR="00F91925">
        <w:rPr>
          <w:szCs w:val="24"/>
        </w:rPr>
        <w:lastRenderedPageBreak/>
        <w:t>valores de C</w:t>
      </w:r>
      <w:r w:rsidR="00F91925" w:rsidRPr="00A37AE2">
        <w:rPr>
          <w:szCs w:val="24"/>
          <w:vertAlign w:val="subscript"/>
        </w:rPr>
        <w:t>50</w:t>
      </w:r>
      <w:r w:rsidR="00F91925">
        <w:rPr>
          <w:szCs w:val="24"/>
        </w:rPr>
        <w:t xml:space="preserve"> foram obtidos </w:t>
      </w:r>
      <w:r w:rsidR="00A37AE2">
        <w:rPr>
          <w:szCs w:val="24"/>
        </w:rPr>
        <w:t>por meio das equações ajustadas do modelo de regressão para cada espécie</w:t>
      </w:r>
      <w:r w:rsidR="000D7979">
        <w:rPr>
          <w:szCs w:val="24"/>
        </w:rPr>
        <w:t>, correspondendo à dose necessária em causar intoxicação ou redução de 50% no crescimento das plantas testadas</w:t>
      </w:r>
      <w:r w:rsidR="00080645" w:rsidRPr="00382598">
        <w:rPr>
          <w:szCs w:val="24"/>
        </w:rPr>
        <w:t>.</w:t>
      </w:r>
    </w:p>
    <w:p w14:paraId="67D7D6B3" w14:textId="0DFE42B3" w:rsidR="009F4621" w:rsidRPr="00E73CB8" w:rsidRDefault="00F01F71" w:rsidP="00A06E4F">
      <w:pPr>
        <w:spacing w:line="480" w:lineRule="auto"/>
        <w:jc w:val="center"/>
        <w:rPr>
          <w:b/>
        </w:rPr>
      </w:pPr>
      <w:r w:rsidRPr="00E73CB8">
        <w:rPr>
          <w:b/>
        </w:rPr>
        <w:t>R</w:t>
      </w:r>
      <w:r w:rsidR="00A06E4F" w:rsidRPr="00E73CB8">
        <w:rPr>
          <w:b/>
        </w:rPr>
        <w:t>esultados</w:t>
      </w:r>
      <w:r w:rsidR="00A06E4F">
        <w:rPr>
          <w:b/>
        </w:rPr>
        <w:t xml:space="preserve"> e </w:t>
      </w:r>
      <w:r w:rsidR="00A06E4F" w:rsidRPr="00E73CB8">
        <w:rPr>
          <w:b/>
        </w:rPr>
        <w:t>discussão</w:t>
      </w:r>
    </w:p>
    <w:p w14:paraId="5E547774" w14:textId="25A3C782" w:rsidR="00F01F71" w:rsidRDefault="007E4D6D" w:rsidP="002E5C01">
      <w:pPr>
        <w:spacing w:line="480" w:lineRule="auto"/>
        <w:jc w:val="both"/>
      </w:pPr>
      <w:r>
        <w:tab/>
      </w:r>
      <w:r w:rsidR="00F36F3D" w:rsidRPr="00F36F3D">
        <w:t>Dentre as espécies estudadas,</w:t>
      </w:r>
      <w:r w:rsidR="00F36F3D" w:rsidRPr="00F36F3D">
        <w:rPr>
          <w:sz w:val="28"/>
        </w:rPr>
        <w:t xml:space="preserve"> </w:t>
      </w:r>
      <w:r w:rsidR="00F36F3D" w:rsidRPr="00F36F3D">
        <w:t>a</w:t>
      </w:r>
      <w:r w:rsidR="00227E22" w:rsidRPr="00F36F3D">
        <w:rPr>
          <w:sz w:val="28"/>
        </w:rPr>
        <w:t xml:space="preserve"> </w:t>
      </w:r>
      <w:r w:rsidR="00227E22">
        <w:t xml:space="preserve">beterraba, </w:t>
      </w:r>
      <w:r w:rsidR="00820E32">
        <w:t xml:space="preserve">o </w:t>
      </w:r>
      <w:r w:rsidR="00227E22">
        <w:t>tomate e o sorgo foram as espécies que mais se mostraram sensíveis à presença do saflufenacil (Figura 1</w:t>
      </w:r>
      <w:r w:rsidR="00295E70">
        <w:t>A</w:t>
      </w:r>
      <w:r w:rsidR="00227E22">
        <w:t xml:space="preserve">). </w:t>
      </w:r>
      <w:r w:rsidR="00820E32">
        <w:t>A</w:t>
      </w:r>
      <w:r w:rsidR="00227E22">
        <w:t xml:space="preserve"> maior dose testada</w:t>
      </w:r>
      <w:r w:rsidR="00F36F3D">
        <w:t xml:space="preserve"> (20 g ha</w:t>
      </w:r>
      <w:r w:rsidR="00F36F3D" w:rsidRPr="00F36F3D">
        <w:rPr>
          <w:vertAlign w:val="superscript"/>
        </w:rPr>
        <w:t>-1</w:t>
      </w:r>
      <w:r w:rsidR="00F36F3D">
        <w:t>)</w:t>
      </w:r>
      <w:r w:rsidR="00227E22">
        <w:t xml:space="preserve"> </w:t>
      </w:r>
      <w:r w:rsidR="0079219F">
        <w:t>resultou em morte destas</w:t>
      </w:r>
      <w:r w:rsidR="00227E22">
        <w:t xml:space="preserve"> espécies. </w:t>
      </w:r>
      <w:r w:rsidR="005E30C9">
        <w:t>O pepino e a cenoura apresentaram tendência de aumento de intoxicação com o aumento da dose. No entanto, essas espécies tiveram</w:t>
      </w:r>
      <w:r w:rsidR="00F36F3D">
        <w:t xml:space="preserve"> valores máximos de intoxicação em torno de 80%. Já a abóbora e a melancia não se mostraram sensíveis ao saflufenacil, apresentando intoxicação inferior à 5%.</w:t>
      </w:r>
    </w:p>
    <w:p w14:paraId="69778297" w14:textId="77777777" w:rsidR="004A2888" w:rsidRDefault="004A2888" w:rsidP="002E5C01">
      <w:pPr>
        <w:spacing w:line="480" w:lineRule="auto"/>
        <w:jc w:val="both"/>
      </w:pPr>
      <w:r>
        <w:tab/>
        <w:t>As variáveis matéria seca da parte aérea, matéria seca do sistema radicular e matéria seca total apresentaram comportamento semelhante quanto à sensibilidade das espécies em e</w:t>
      </w:r>
      <w:r w:rsidR="00295E70">
        <w:t>studo ao saflufenacil (Figuras 1B, 2A e 2B</w:t>
      </w:r>
      <w:r>
        <w:t>). De forma geral, houve redução da matéria seca da parte aérea da beterraba, do tomate, do sorgo e pepino. Apesar da tendência de redução da matéria seca da parte aérea do pepino em doses crescentes do herbicida</w:t>
      </w:r>
      <w:r w:rsidR="002D3964">
        <w:t>, as plantas apresentaram mais de 60% da matéria seca quando comparado com a testemunha sem herbicida. A abóbora, cenoura e melancia não tiveram redução da matér</w:t>
      </w:r>
      <w:r w:rsidR="00295E70">
        <w:t>ia seca da parte aérea (Figura 1B</w:t>
      </w:r>
      <w:r w:rsidR="002D3964">
        <w:t>).</w:t>
      </w:r>
    </w:p>
    <w:p w14:paraId="33FDD4D0" w14:textId="74324E2F" w:rsidR="00E73CB8" w:rsidRDefault="00E73CB8" w:rsidP="002E5C01">
      <w:pPr>
        <w:spacing w:line="480" w:lineRule="auto"/>
        <w:ind w:firstLine="708"/>
        <w:jc w:val="both"/>
      </w:pPr>
      <w:r>
        <w:t xml:space="preserve">A variável percentagem de intoxicação mostrou ser melhor indicador para avaliar a sensibilidade das espécies testadas ao saflufenacil. Para o </w:t>
      </w:r>
      <w:proofErr w:type="spellStart"/>
      <w:r>
        <w:t>sulfentrazone</w:t>
      </w:r>
      <w:proofErr w:type="spellEnd"/>
      <w:r>
        <w:t>, herbicida inibidor do mesmo mecanismo de ação do saflufenacil, a matéria seca da raiz e parte aérea mostraram</w:t>
      </w:r>
      <w:r w:rsidR="009953FE">
        <w:t>-se</w:t>
      </w:r>
      <w:r>
        <w:t xml:space="preserve"> pouco eficientes para avaliar a sensibilidade ao </w:t>
      </w:r>
      <w:r w:rsidR="009953FE">
        <w:t xml:space="preserve">herbicida </w:t>
      </w:r>
      <w:r>
        <w:t>(</w:t>
      </w:r>
      <w:proofErr w:type="spellStart"/>
      <w:r>
        <w:t>Szmigielski</w:t>
      </w:r>
      <w:proofErr w:type="spellEnd"/>
      <w:r>
        <w:t xml:space="preserve"> et al., 2009). </w:t>
      </w:r>
      <w:r w:rsidR="009953FE">
        <w:t>A</w:t>
      </w:r>
      <w:r>
        <w:t xml:space="preserve"> identificação dos sintomas visuais nas plantas é mais perceptível</w:t>
      </w:r>
      <w:r w:rsidR="009953FE">
        <w:t>, para este herbicida,</w:t>
      </w:r>
      <w:r>
        <w:t xml:space="preserve"> </w:t>
      </w:r>
      <w:r w:rsidR="009953FE">
        <w:t>devido a inibição da</w:t>
      </w:r>
      <w:r>
        <w:t xml:space="preserve"> </w:t>
      </w:r>
      <w:proofErr w:type="spellStart"/>
      <w:r>
        <w:t>protoporfirinogênio</w:t>
      </w:r>
      <w:proofErr w:type="spellEnd"/>
      <w:r>
        <w:t xml:space="preserve"> oxidase IX, enzima chave para a produção da clorofila. Com o acúmulo do </w:t>
      </w:r>
      <w:proofErr w:type="spellStart"/>
      <w:r>
        <w:t>protoporfirinogênio</w:t>
      </w:r>
      <w:proofErr w:type="spellEnd"/>
      <w:r>
        <w:t xml:space="preserve"> IX no cloroplasto e seu posterior deslocamento para o </w:t>
      </w:r>
      <w:r>
        <w:lastRenderedPageBreak/>
        <w:t xml:space="preserve">citoplasma das células, ocorrem as necroses nos tecidos foliares provocadas pela peroxidação dos lipídios </w:t>
      </w:r>
      <w:r w:rsidR="00743647">
        <w:t xml:space="preserve">das membranas celulares em presença de luz </w:t>
      </w:r>
      <w:r>
        <w:t>(Weller, 2003).</w:t>
      </w:r>
    </w:p>
    <w:p w14:paraId="2BD9F1E0" w14:textId="787927B8" w:rsidR="009F4621" w:rsidRDefault="009F4621" w:rsidP="002E5C01">
      <w:pPr>
        <w:spacing w:line="480" w:lineRule="auto"/>
        <w:ind w:firstLine="708"/>
        <w:jc w:val="both"/>
      </w:pPr>
      <w:r>
        <w:t xml:space="preserve">Robinson </w:t>
      </w:r>
      <w:r w:rsidR="00FE251B">
        <w:t>e</w:t>
      </w:r>
      <w:r>
        <w:t xml:space="preserve"> </w:t>
      </w:r>
      <w:proofErr w:type="spellStart"/>
      <w:r>
        <w:t>McNaughton</w:t>
      </w:r>
      <w:proofErr w:type="spellEnd"/>
      <w:r>
        <w:t xml:space="preserve"> (2012) avaliando injúrias causadas</w:t>
      </w:r>
      <w:r w:rsidRPr="004A1178">
        <w:t xml:space="preserve"> </w:t>
      </w:r>
      <w:r>
        <w:t xml:space="preserve">por </w:t>
      </w:r>
      <w:proofErr w:type="spellStart"/>
      <w:r w:rsidRPr="004A1178">
        <w:rPr>
          <w:i/>
        </w:rPr>
        <w:t>carryover</w:t>
      </w:r>
      <w:proofErr w:type="spellEnd"/>
      <w:r>
        <w:t xml:space="preserve"> de saflufenacil</w:t>
      </w:r>
      <w:r w:rsidR="009953FE">
        <w:t>,</w:t>
      </w:r>
      <w:r>
        <w:t xml:space="preserve"> </w:t>
      </w:r>
      <w:r w:rsidR="00CA6E1B">
        <w:t xml:space="preserve">em espécies </w:t>
      </w:r>
      <w:r>
        <w:t xml:space="preserve">semeadas um ano </w:t>
      </w:r>
      <w:r w:rsidR="00CA6E1B">
        <w:t xml:space="preserve">após </w:t>
      </w:r>
      <w:r>
        <w:t xml:space="preserve">a aplicação do herbicida, observaram que o pepino e a beterraba tiveram redução da matéria seca em doses mais baixas quando comparado com a cenoura. A beterraba apresentou elevados sintomas de intoxicação e maiores reduções de matéria seca quando tratadas com </w:t>
      </w:r>
      <w:proofErr w:type="spellStart"/>
      <w:r>
        <w:t>mesotrione</w:t>
      </w:r>
      <w:proofErr w:type="spellEnd"/>
      <w:r>
        <w:t xml:space="preserve"> (</w:t>
      </w:r>
      <w:proofErr w:type="spellStart"/>
      <w:r>
        <w:t>Riddle</w:t>
      </w:r>
      <w:proofErr w:type="spellEnd"/>
      <w:r>
        <w:t xml:space="preserve"> et al., 2013), herbicida de outro mecanismo de ação, mas que também afeta os processos </w:t>
      </w:r>
      <w:r w:rsidR="000D7979">
        <w:t>fotossintéticos</w:t>
      </w:r>
      <w:r>
        <w:t xml:space="preserve"> da planta. Esses resultados corroboram com os encontrados neste trabalho, evidenciando maior sensibilidade da beterraba ao saflufenacil. </w:t>
      </w:r>
    </w:p>
    <w:p w14:paraId="6320EEB2" w14:textId="36A5993B" w:rsidR="00072130" w:rsidRDefault="004A1178" w:rsidP="002E5C01">
      <w:pPr>
        <w:spacing w:line="480" w:lineRule="auto"/>
        <w:jc w:val="both"/>
      </w:pPr>
      <w:r>
        <w:tab/>
      </w:r>
      <w:r w:rsidR="00072130">
        <w:t xml:space="preserve">A tabela 1 expressa os valores da dose necessária para causar 50% de intoxicação e redução da matéria seca nas espécies que demonstraram </w:t>
      </w:r>
      <w:r w:rsidR="003A6F9E">
        <w:t>ser potencialmente sensíveis</w:t>
      </w:r>
      <w:r w:rsidR="00072130">
        <w:t xml:space="preserve"> ao saflufenacil. A beterraba foi a espécie que apresentou menor valor de C</w:t>
      </w:r>
      <w:r w:rsidR="00072130" w:rsidRPr="00072130">
        <w:rPr>
          <w:vertAlign w:val="subscript"/>
        </w:rPr>
        <w:t>50</w:t>
      </w:r>
      <w:r w:rsidR="00072130">
        <w:t xml:space="preserve"> para as variáveis em estudo, com </w:t>
      </w:r>
      <w:r w:rsidR="000D7979">
        <w:t>exceção</w:t>
      </w:r>
      <w:r w:rsidR="00072130">
        <w:t xml:space="preserve"> do sintoma de intoxicação e matéria seca do sistema radicular, onde o pepino e o tomate foram as espécies com menor C</w:t>
      </w:r>
      <w:r w:rsidR="00072130" w:rsidRPr="00072130">
        <w:rPr>
          <w:vertAlign w:val="subscript"/>
        </w:rPr>
        <w:t>50</w:t>
      </w:r>
      <w:r w:rsidR="00072130">
        <w:t xml:space="preserve">, respectivamente. </w:t>
      </w:r>
      <w:r w:rsidR="00A668A9">
        <w:t xml:space="preserve">Apesar de o pepino ter sido a espécie que exigiu menor dose para causar 50% de intoxicação, isso não pode ser atribuído para apontar esta espécie como a mais sensível ao saflufenacil, pois a maior dose em estudo não foi suficiente para promover a morte da planta. </w:t>
      </w:r>
      <w:r w:rsidR="000D7979">
        <w:t>Os valores máximos de intoxicação para esta espécie foram</w:t>
      </w:r>
      <w:r w:rsidR="00A668A9">
        <w:t xml:space="preserve"> em torno de 80% (Figura 1</w:t>
      </w:r>
      <w:r w:rsidR="00295E70">
        <w:t>A</w:t>
      </w:r>
      <w:r w:rsidR="00A668A9">
        <w:t xml:space="preserve">). </w:t>
      </w:r>
      <w:r w:rsidR="00E749F8">
        <w:t>O saflufenacil não causou grandes reduções na matéria seca da parte aérea e matéria seca total do pepino, o que impossibilitou a estimativa da C</w:t>
      </w:r>
      <w:r w:rsidR="00E749F8" w:rsidRPr="00072130">
        <w:rPr>
          <w:vertAlign w:val="subscript"/>
        </w:rPr>
        <w:t>50</w:t>
      </w:r>
      <w:r w:rsidR="00E749F8">
        <w:rPr>
          <w:vertAlign w:val="subscript"/>
        </w:rPr>
        <w:t xml:space="preserve"> </w:t>
      </w:r>
      <w:r w:rsidR="00E749F8">
        <w:t>para essa espécie nestas variáveis (Tabela 1).</w:t>
      </w:r>
    </w:p>
    <w:p w14:paraId="01721815" w14:textId="77777777" w:rsidR="009F4621" w:rsidRDefault="009F4621" w:rsidP="002E5C01">
      <w:pPr>
        <w:spacing w:line="480" w:lineRule="auto"/>
        <w:ind w:firstLine="708"/>
        <w:jc w:val="both"/>
      </w:pPr>
      <w:proofErr w:type="spellStart"/>
      <w:r>
        <w:t>Riddle</w:t>
      </w:r>
      <w:proofErr w:type="spellEnd"/>
      <w:r>
        <w:t xml:space="preserve"> et al. (2013) observaram intoxicação severa da beterraba, causando a morte dessa cultura, enquanto o pepino nas maiores doses do </w:t>
      </w:r>
      <w:proofErr w:type="spellStart"/>
      <w:r>
        <w:t>mesotrione</w:t>
      </w:r>
      <w:proofErr w:type="spellEnd"/>
      <w:r>
        <w:t xml:space="preserve"> apresentou apenas 55%</w:t>
      </w:r>
      <w:r w:rsidR="00CD650F">
        <w:t xml:space="preserve"> de intoxicação</w:t>
      </w:r>
      <w:r>
        <w:t xml:space="preserve">. Assim como observado neste trabalho, esses autores também obtiveram menores </w:t>
      </w:r>
      <w:r>
        <w:lastRenderedPageBreak/>
        <w:t>valores de C</w:t>
      </w:r>
      <w:r w:rsidRPr="0011429C">
        <w:rPr>
          <w:vertAlign w:val="subscript"/>
        </w:rPr>
        <w:t>50</w:t>
      </w:r>
      <w:r>
        <w:t xml:space="preserve"> para a beterraba. Isso explica a maior sensibilidade d</w:t>
      </w:r>
      <w:r w:rsidR="000D7979">
        <w:t>essa espécie</w:t>
      </w:r>
      <w:r>
        <w:t xml:space="preserve"> ao saflufenacil. Entre as espécies que se mostraram promissoras em ser sensíveis a este herbicida, a beterraba foi a que apresentou sintomas de intoxicação e redução do crescimento em 50% com as menores doses</w:t>
      </w:r>
      <w:r w:rsidR="00CD650F">
        <w:t xml:space="preserve"> do herbicida</w:t>
      </w:r>
      <w:r>
        <w:t xml:space="preserve"> (Tabela 1).</w:t>
      </w:r>
    </w:p>
    <w:p w14:paraId="111282F2" w14:textId="77777777" w:rsidR="00A668A9" w:rsidRPr="00C079E1" w:rsidRDefault="00F73C64" w:rsidP="002E5C01">
      <w:pPr>
        <w:spacing w:line="480" w:lineRule="auto"/>
        <w:jc w:val="both"/>
      </w:pPr>
      <w:r>
        <w:tab/>
        <w:t xml:space="preserve">O tomate foi uma espécie que apresentou sensibilidade ao saflufenacil semelhante à beterraba para quase todas as variáveis (Tabela 1). Para a matéria seca do sistema radicular </w:t>
      </w:r>
      <w:r w:rsidR="00C523EE">
        <w:t>apresentou C</w:t>
      </w:r>
      <w:r w:rsidR="00C523EE" w:rsidRPr="00072130">
        <w:rPr>
          <w:vertAlign w:val="subscript"/>
        </w:rPr>
        <w:t>50</w:t>
      </w:r>
      <w:r w:rsidR="00C523EE">
        <w:rPr>
          <w:vertAlign w:val="subscript"/>
        </w:rPr>
        <w:t xml:space="preserve"> </w:t>
      </w:r>
      <w:r w:rsidR="00C523EE">
        <w:t>menor do que as outras espécies, demonstrando ser</w:t>
      </w:r>
      <w:r>
        <w:t xml:space="preserve"> </w:t>
      </w:r>
      <w:r w:rsidR="008E3A5A">
        <w:t>altamente</w:t>
      </w:r>
      <w:r>
        <w:t xml:space="preserve"> sensível ao herbicida. </w:t>
      </w:r>
      <w:r w:rsidR="00CD650F">
        <w:t xml:space="preserve">Todavia, devido ao mecanismo de ação do saflufenacil, </w:t>
      </w:r>
      <w:r w:rsidR="00C079E1">
        <w:t>a matéria seca do sistema radicular não é tão expressiva (</w:t>
      </w:r>
      <w:proofErr w:type="spellStart"/>
      <w:r w:rsidR="00C079E1">
        <w:t>Szmigielski</w:t>
      </w:r>
      <w:proofErr w:type="spellEnd"/>
      <w:r w:rsidR="00C079E1">
        <w:t xml:space="preserve"> et al., 2009). Observando os valores de C</w:t>
      </w:r>
      <w:r w:rsidR="00C079E1" w:rsidRPr="00072130">
        <w:rPr>
          <w:vertAlign w:val="subscript"/>
        </w:rPr>
        <w:t>50</w:t>
      </w:r>
      <w:r w:rsidR="00C079E1">
        <w:rPr>
          <w:vertAlign w:val="subscript"/>
        </w:rPr>
        <w:t xml:space="preserve"> </w:t>
      </w:r>
      <w:r w:rsidR="00C079E1">
        <w:t xml:space="preserve">para os sintomas de intoxicação e matéria seca da parte aérea (Tabela 1), percebe-se maior susceptibilidade da beterraba. </w:t>
      </w:r>
    </w:p>
    <w:p w14:paraId="0E3642ED" w14:textId="5AF5B3C8" w:rsidR="009F4621" w:rsidRDefault="009F4621" w:rsidP="002E5C01">
      <w:pPr>
        <w:spacing w:line="480" w:lineRule="auto"/>
        <w:ind w:firstLine="708"/>
        <w:jc w:val="both"/>
      </w:pPr>
      <w:r>
        <w:t xml:space="preserve">A alta sensibilidade da beterraba pode ser explicada devido a redução da enzima glutationa S-transferase quando essa espécie é submetida ao herbicida. Plantas de beterraba sensíveis ao </w:t>
      </w:r>
      <w:proofErr w:type="spellStart"/>
      <w:r>
        <w:t>c</w:t>
      </w:r>
      <w:r w:rsidR="008E3A5A">
        <w:t>h</w:t>
      </w:r>
      <w:r>
        <w:t>lorymuron-ethyl</w:t>
      </w:r>
      <w:proofErr w:type="spellEnd"/>
      <w:r>
        <w:t xml:space="preserve"> apresentaram redução significativa da atividade dessa enzima quando comparado com beterrabas tolerantes (</w:t>
      </w:r>
      <w:proofErr w:type="spellStart"/>
      <w:r>
        <w:t>Wei</w:t>
      </w:r>
      <w:proofErr w:type="spellEnd"/>
      <w:r>
        <w:t xml:space="preserve"> et al., 2010). A glutationa S-transferase no citosol das células ativa o </w:t>
      </w:r>
      <w:proofErr w:type="spellStart"/>
      <w:r>
        <w:t>tripeptídeo</w:t>
      </w:r>
      <w:proofErr w:type="spellEnd"/>
      <w:r>
        <w:t xml:space="preserve"> glutationa, responsáveis pela conjugação de substratos tóxicos como herbicidas, inativando o produto químico (Edwards et al., 2000). É provável que a beterraba apresente altos níveis de glutationa S-transferase. Contudo, quando tratadas com herbicidas, a concentração dessa enzima diminu</w:t>
      </w:r>
      <w:r w:rsidR="00D82BD6">
        <w:t>i</w:t>
      </w:r>
      <w:r>
        <w:t xml:space="preserve"> tornando-a muito suscetível ao composto químico. </w:t>
      </w:r>
    </w:p>
    <w:p w14:paraId="7BB9C084" w14:textId="59E384AE" w:rsidR="00BE48ED" w:rsidRDefault="00451708" w:rsidP="00A06E4F">
      <w:pPr>
        <w:spacing w:after="240" w:line="480" w:lineRule="auto"/>
        <w:jc w:val="center"/>
        <w:rPr>
          <w:b/>
        </w:rPr>
      </w:pPr>
      <w:r w:rsidRPr="002F4271">
        <w:rPr>
          <w:b/>
        </w:rPr>
        <w:t>C</w:t>
      </w:r>
      <w:r w:rsidR="00A06E4F" w:rsidRPr="002F4271">
        <w:rPr>
          <w:b/>
        </w:rPr>
        <w:t>onclusão</w:t>
      </w:r>
    </w:p>
    <w:p w14:paraId="201B8130" w14:textId="11078E0F" w:rsidR="00451708" w:rsidRDefault="00451708" w:rsidP="002E5C01">
      <w:pPr>
        <w:spacing w:after="240" w:line="480" w:lineRule="auto"/>
        <w:jc w:val="both"/>
      </w:pPr>
      <w:r w:rsidRPr="002F4271">
        <w:tab/>
      </w:r>
      <w:r w:rsidRPr="00030C20">
        <w:t>A beterraba</w:t>
      </w:r>
      <w:r>
        <w:t xml:space="preserve"> (</w:t>
      </w:r>
      <w:r w:rsidRPr="00030C20">
        <w:rPr>
          <w:i/>
        </w:rPr>
        <w:t xml:space="preserve">Beta </w:t>
      </w:r>
      <w:proofErr w:type="spellStart"/>
      <w:r w:rsidRPr="00030C20">
        <w:rPr>
          <w:i/>
        </w:rPr>
        <w:t>vulgaris</w:t>
      </w:r>
      <w:proofErr w:type="spellEnd"/>
      <w:r>
        <w:t xml:space="preserve">) </w:t>
      </w:r>
      <w:r w:rsidR="003108FE">
        <w:t>é a espécie mais indicada para a condução de ensaios biológicos com o fim de detectar a presença do saflufenacil em solo na</w:t>
      </w:r>
      <w:r w:rsidR="00073E09">
        <w:t>s</w:t>
      </w:r>
      <w:r w:rsidR="003108FE">
        <w:t xml:space="preserve"> condições brasileiras.</w:t>
      </w:r>
      <w:r>
        <w:t xml:space="preserve">  </w:t>
      </w:r>
    </w:p>
    <w:p w14:paraId="7E945A38" w14:textId="77EFEF8B" w:rsidR="00FF60B6" w:rsidRDefault="00FF60B6" w:rsidP="00A06E4F">
      <w:pPr>
        <w:spacing w:after="240" w:line="480" w:lineRule="auto"/>
        <w:jc w:val="center"/>
        <w:rPr>
          <w:b/>
        </w:rPr>
      </w:pPr>
      <w:r>
        <w:rPr>
          <w:b/>
        </w:rPr>
        <w:lastRenderedPageBreak/>
        <w:t>A</w:t>
      </w:r>
      <w:r w:rsidR="00A06E4F">
        <w:rPr>
          <w:b/>
        </w:rPr>
        <w:t>gradecimentos</w:t>
      </w:r>
    </w:p>
    <w:p w14:paraId="6157B089" w14:textId="050F1686" w:rsidR="00FF60B6" w:rsidRPr="00FF60B6" w:rsidRDefault="00FF60B6" w:rsidP="00FF60B6">
      <w:pPr>
        <w:spacing w:line="480" w:lineRule="auto"/>
        <w:jc w:val="both"/>
        <w:rPr>
          <w:lang w:val="en-US"/>
        </w:rPr>
      </w:pPr>
      <w:r>
        <w:rPr>
          <w:lang w:val="en-US"/>
        </w:rPr>
        <w:tab/>
      </w:r>
      <w:r w:rsidRPr="00FF60B6">
        <w:rPr>
          <w:lang w:val="en-US"/>
        </w:rPr>
        <w:t xml:space="preserve">O </w:t>
      </w:r>
      <w:proofErr w:type="spellStart"/>
      <w:r w:rsidRPr="00FF60B6">
        <w:rPr>
          <w:lang w:val="en-US"/>
        </w:rPr>
        <w:t>presente</w:t>
      </w:r>
      <w:proofErr w:type="spellEnd"/>
      <w:r w:rsidRPr="00FF60B6">
        <w:rPr>
          <w:lang w:val="en-US"/>
        </w:rPr>
        <w:t xml:space="preserve"> </w:t>
      </w:r>
      <w:proofErr w:type="spellStart"/>
      <w:r w:rsidRPr="00FF60B6">
        <w:rPr>
          <w:lang w:val="en-US"/>
        </w:rPr>
        <w:t>trabalho</w:t>
      </w:r>
      <w:proofErr w:type="spellEnd"/>
      <w:r w:rsidRPr="00FF60B6">
        <w:rPr>
          <w:lang w:val="en-US"/>
        </w:rPr>
        <w:t xml:space="preserve"> </w:t>
      </w:r>
      <w:proofErr w:type="spellStart"/>
      <w:r w:rsidRPr="00FF60B6">
        <w:rPr>
          <w:lang w:val="en-US"/>
        </w:rPr>
        <w:t>foi</w:t>
      </w:r>
      <w:proofErr w:type="spellEnd"/>
      <w:r w:rsidRPr="00FF60B6">
        <w:rPr>
          <w:lang w:val="en-US"/>
        </w:rPr>
        <w:t xml:space="preserve"> </w:t>
      </w:r>
      <w:proofErr w:type="spellStart"/>
      <w:r w:rsidRPr="00FF60B6">
        <w:rPr>
          <w:lang w:val="en-US"/>
        </w:rPr>
        <w:t>realizado</w:t>
      </w:r>
      <w:proofErr w:type="spellEnd"/>
      <w:r w:rsidRPr="00FF60B6">
        <w:rPr>
          <w:lang w:val="en-US"/>
        </w:rPr>
        <w:t xml:space="preserve"> com </w:t>
      </w:r>
      <w:proofErr w:type="spellStart"/>
      <w:r w:rsidRPr="00FF60B6">
        <w:rPr>
          <w:lang w:val="en-US"/>
        </w:rPr>
        <w:t>apoio</w:t>
      </w:r>
      <w:proofErr w:type="spellEnd"/>
      <w:r w:rsidRPr="00FF60B6">
        <w:rPr>
          <w:lang w:val="en-US"/>
        </w:rPr>
        <w:t xml:space="preserve"> da </w:t>
      </w:r>
      <w:proofErr w:type="spellStart"/>
      <w:r w:rsidRPr="00FF60B6">
        <w:rPr>
          <w:lang w:val="en-US"/>
        </w:rPr>
        <w:t>Coordenação</w:t>
      </w:r>
      <w:proofErr w:type="spellEnd"/>
      <w:r w:rsidRPr="00FF60B6">
        <w:rPr>
          <w:lang w:val="en-US"/>
        </w:rPr>
        <w:t xml:space="preserve"> de </w:t>
      </w:r>
      <w:proofErr w:type="spellStart"/>
      <w:r w:rsidRPr="00FF60B6">
        <w:rPr>
          <w:lang w:val="en-US"/>
        </w:rPr>
        <w:t>Aperfeiçoamento</w:t>
      </w:r>
      <w:proofErr w:type="spellEnd"/>
      <w:r w:rsidRPr="00FF60B6">
        <w:rPr>
          <w:lang w:val="en-US"/>
        </w:rPr>
        <w:t xml:space="preserve"> de </w:t>
      </w:r>
      <w:proofErr w:type="spellStart"/>
      <w:r w:rsidRPr="00FF60B6">
        <w:rPr>
          <w:lang w:val="en-US"/>
        </w:rPr>
        <w:t>Pessoal</w:t>
      </w:r>
      <w:proofErr w:type="spellEnd"/>
      <w:r w:rsidRPr="00FF60B6">
        <w:rPr>
          <w:lang w:val="en-US"/>
        </w:rPr>
        <w:t xml:space="preserve"> de </w:t>
      </w:r>
      <w:proofErr w:type="spellStart"/>
      <w:r w:rsidRPr="00FF60B6">
        <w:rPr>
          <w:lang w:val="en-US"/>
        </w:rPr>
        <w:t>Nível</w:t>
      </w:r>
      <w:proofErr w:type="spellEnd"/>
      <w:r w:rsidRPr="00FF60B6">
        <w:rPr>
          <w:lang w:val="en-US"/>
        </w:rPr>
        <w:t xml:space="preserve"> Superior </w:t>
      </w:r>
      <w:r>
        <w:rPr>
          <w:lang w:val="en-US"/>
        </w:rPr>
        <w:t>–</w:t>
      </w:r>
      <w:r w:rsidRPr="00FF60B6">
        <w:rPr>
          <w:lang w:val="en-US"/>
        </w:rPr>
        <w:t xml:space="preserve"> </w:t>
      </w:r>
      <w:proofErr w:type="spellStart"/>
      <w:r w:rsidRPr="00FF60B6">
        <w:rPr>
          <w:lang w:val="en-US"/>
        </w:rPr>
        <w:t>Brasil</w:t>
      </w:r>
      <w:proofErr w:type="spellEnd"/>
      <w:r>
        <w:rPr>
          <w:lang w:val="en-US"/>
        </w:rPr>
        <w:t xml:space="preserve"> </w:t>
      </w:r>
      <w:r w:rsidRPr="00FF60B6">
        <w:rPr>
          <w:lang w:val="en-US"/>
        </w:rPr>
        <w:t xml:space="preserve">(CAPES) - Código de </w:t>
      </w:r>
      <w:proofErr w:type="spellStart"/>
      <w:r w:rsidRPr="00FF60B6">
        <w:rPr>
          <w:lang w:val="en-US"/>
        </w:rPr>
        <w:t>Financiamento</w:t>
      </w:r>
      <w:proofErr w:type="spellEnd"/>
      <w:r w:rsidRPr="00FF60B6">
        <w:rPr>
          <w:lang w:val="en-US"/>
        </w:rPr>
        <w:t xml:space="preserve"> 001</w:t>
      </w:r>
      <w:r>
        <w:rPr>
          <w:lang w:val="en-US"/>
        </w:rPr>
        <w:t xml:space="preserve">, do </w:t>
      </w:r>
      <w:proofErr w:type="spellStart"/>
      <w:r>
        <w:rPr>
          <w:lang w:val="en-US"/>
        </w:rPr>
        <w:t>Conselho</w:t>
      </w:r>
      <w:proofErr w:type="spellEnd"/>
      <w:r>
        <w:rPr>
          <w:lang w:val="en-US"/>
        </w:rPr>
        <w:t xml:space="preserve"> Nacional de </w:t>
      </w:r>
      <w:proofErr w:type="spellStart"/>
      <w:r>
        <w:rPr>
          <w:lang w:val="en-US"/>
        </w:rPr>
        <w:t>Desenvolvimento</w:t>
      </w:r>
      <w:proofErr w:type="spellEnd"/>
      <w:r>
        <w:rPr>
          <w:lang w:val="en-US"/>
        </w:rPr>
        <w:t xml:space="preserve"> </w:t>
      </w:r>
      <w:proofErr w:type="spellStart"/>
      <w:r>
        <w:rPr>
          <w:lang w:val="en-US"/>
        </w:rPr>
        <w:t>Científico</w:t>
      </w:r>
      <w:proofErr w:type="spellEnd"/>
      <w:r>
        <w:rPr>
          <w:lang w:val="en-US"/>
        </w:rPr>
        <w:t xml:space="preserve"> e </w:t>
      </w:r>
      <w:proofErr w:type="spellStart"/>
      <w:r>
        <w:rPr>
          <w:lang w:val="en-US"/>
        </w:rPr>
        <w:t>Tecnológico</w:t>
      </w:r>
      <w:proofErr w:type="spellEnd"/>
      <w:r>
        <w:rPr>
          <w:lang w:val="en-US"/>
        </w:rPr>
        <w:t xml:space="preserve"> (</w:t>
      </w:r>
      <w:proofErr w:type="spellStart"/>
      <w:r>
        <w:rPr>
          <w:lang w:val="en-US"/>
        </w:rPr>
        <w:t>CNPq</w:t>
      </w:r>
      <w:proofErr w:type="spellEnd"/>
      <w:r>
        <w:rPr>
          <w:lang w:val="en-US"/>
        </w:rPr>
        <w:t xml:space="preserve">) e </w:t>
      </w:r>
      <w:proofErr w:type="spellStart"/>
      <w:r>
        <w:rPr>
          <w:lang w:val="en-US"/>
        </w:rPr>
        <w:t>Fundação</w:t>
      </w:r>
      <w:proofErr w:type="spellEnd"/>
      <w:r>
        <w:rPr>
          <w:lang w:val="en-US"/>
        </w:rPr>
        <w:t xml:space="preserve"> de Amparo à </w:t>
      </w:r>
      <w:proofErr w:type="spellStart"/>
      <w:r>
        <w:rPr>
          <w:lang w:val="en-US"/>
        </w:rPr>
        <w:t>Pesquisa</w:t>
      </w:r>
      <w:proofErr w:type="spellEnd"/>
      <w:r>
        <w:rPr>
          <w:lang w:val="en-US"/>
        </w:rPr>
        <w:t xml:space="preserve"> do Estado de Minas Gerais (FAPEMIG). </w:t>
      </w:r>
      <w:proofErr w:type="spellStart"/>
      <w:r>
        <w:rPr>
          <w:lang w:val="en-US"/>
        </w:rPr>
        <w:t>Os</w:t>
      </w:r>
      <w:proofErr w:type="spellEnd"/>
      <w:r>
        <w:rPr>
          <w:lang w:val="en-US"/>
        </w:rPr>
        <w:t xml:space="preserve"> </w:t>
      </w:r>
      <w:proofErr w:type="spellStart"/>
      <w:r>
        <w:rPr>
          <w:lang w:val="en-US"/>
        </w:rPr>
        <w:t>autores</w:t>
      </w:r>
      <w:proofErr w:type="spellEnd"/>
      <w:r>
        <w:rPr>
          <w:lang w:val="en-US"/>
        </w:rPr>
        <w:t xml:space="preserve"> </w:t>
      </w:r>
      <w:proofErr w:type="spellStart"/>
      <w:r>
        <w:rPr>
          <w:lang w:val="en-US"/>
        </w:rPr>
        <w:t>agradecem</w:t>
      </w:r>
      <w:proofErr w:type="spellEnd"/>
      <w:r>
        <w:rPr>
          <w:lang w:val="en-US"/>
        </w:rPr>
        <w:t xml:space="preserve"> </w:t>
      </w:r>
      <w:proofErr w:type="spellStart"/>
      <w:r>
        <w:rPr>
          <w:lang w:val="en-US"/>
        </w:rPr>
        <w:t>pelas</w:t>
      </w:r>
      <w:proofErr w:type="spellEnd"/>
      <w:r>
        <w:rPr>
          <w:lang w:val="en-US"/>
        </w:rPr>
        <w:t xml:space="preserve"> </w:t>
      </w:r>
      <w:proofErr w:type="spellStart"/>
      <w:r>
        <w:rPr>
          <w:lang w:val="en-US"/>
        </w:rPr>
        <w:t>bolsas</w:t>
      </w:r>
      <w:proofErr w:type="spellEnd"/>
      <w:r>
        <w:rPr>
          <w:lang w:val="en-US"/>
        </w:rPr>
        <w:t xml:space="preserve"> de </w:t>
      </w:r>
      <w:proofErr w:type="spellStart"/>
      <w:r>
        <w:rPr>
          <w:lang w:val="en-US"/>
        </w:rPr>
        <w:t>pesquisa</w:t>
      </w:r>
      <w:proofErr w:type="spellEnd"/>
      <w:r>
        <w:rPr>
          <w:lang w:val="en-US"/>
        </w:rPr>
        <w:t xml:space="preserve">. </w:t>
      </w:r>
    </w:p>
    <w:p w14:paraId="5A37E461" w14:textId="3063083A" w:rsidR="0005561D" w:rsidRPr="009F4621" w:rsidRDefault="0005561D" w:rsidP="00A06E4F">
      <w:pPr>
        <w:spacing w:line="480" w:lineRule="auto"/>
        <w:jc w:val="center"/>
        <w:rPr>
          <w:b/>
          <w:lang w:val="en-US"/>
        </w:rPr>
      </w:pPr>
      <w:proofErr w:type="spellStart"/>
      <w:r w:rsidRPr="009F4621">
        <w:rPr>
          <w:b/>
          <w:lang w:val="en-US"/>
        </w:rPr>
        <w:t>R</w:t>
      </w:r>
      <w:r w:rsidR="00A06E4F" w:rsidRPr="009F4621">
        <w:rPr>
          <w:b/>
          <w:lang w:val="en-US"/>
        </w:rPr>
        <w:t>eferências</w:t>
      </w:r>
      <w:proofErr w:type="spellEnd"/>
      <w:r w:rsidR="00A06E4F" w:rsidRPr="009F4621">
        <w:rPr>
          <w:b/>
          <w:lang w:val="en-US"/>
        </w:rPr>
        <w:t xml:space="preserve"> </w:t>
      </w:r>
      <w:bookmarkStart w:id="0" w:name="_GoBack"/>
      <w:bookmarkEnd w:id="0"/>
    </w:p>
    <w:p w14:paraId="6CA285FC" w14:textId="77777777" w:rsidR="00D83456" w:rsidRPr="000575E0" w:rsidRDefault="00D83456" w:rsidP="002E5C01">
      <w:pPr>
        <w:spacing w:after="240" w:line="480" w:lineRule="auto"/>
        <w:jc w:val="both"/>
        <w:rPr>
          <w:lang w:val="en-US"/>
        </w:rPr>
      </w:pPr>
      <w:r w:rsidRPr="000575E0">
        <w:t xml:space="preserve">ALAM - </w:t>
      </w:r>
      <w:proofErr w:type="spellStart"/>
      <w:r w:rsidRPr="000575E0">
        <w:t>Asociación</w:t>
      </w:r>
      <w:proofErr w:type="spellEnd"/>
      <w:r w:rsidRPr="000575E0">
        <w:t xml:space="preserve"> </w:t>
      </w:r>
      <w:proofErr w:type="spellStart"/>
      <w:r w:rsidRPr="000575E0">
        <w:t>Latinoamericana</w:t>
      </w:r>
      <w:proofErr w:type="spellEnd"/>
      <w:r w:rsidRPr="000575E0">
        <w:t xml:space="preserve"> De </w:t>
      </w:r>
      <w:proofErr w:type="spellStart"/>
      <w:r w:rsidRPr="000575E0">
        <w:t>Malezas</w:t>
      </w:r>
      <w:proofErr w:type="spellEnd"/>
      <w:r w:rsidRPr="000575E0">
        <w:t xml:space="preserve">. </w:t>
      </w:r>
      <w:proofErr w:type="spellStart"/>
      <w:r w:rsidRPr="000575E0">
        <w:t>Recomendaciones</w:t>
      </w:r>
      <w:proofErr w:type="spellEnd"/>
      <w:r w:rsidRPr="000575E0">
        <w:t xml:space="preserve"> sobre </w:t>
      </w:r>
      <w:proofErr w:type="spellStart"/>
      <w:r w:rsidRPr="000575E0">
        <w:t>unificación</w:t>
      </w:r>
      <w:proofErr w:type="spellEnd"/>
      <w:r w:rsidRPr="000575E0">
        <w:t xml:space="preserve"> de </w:t>
      </w:r>
      <w:proofErr w:type="spellStart"/>
      <w:r w:rsidRPr="000575E0">
        <w:t>los</w:t>
      </w:r>
      <w:proofErr w:type="spellEnd"/>
      <w:r w:rsidRPr="000575E0">
        <w:t xml:space="preserve"> sistemas de </w:t>
      </w:r>
      <w:proofErr w:type="spellStart"/>
      <w:r w:rsidRPr="000575E0">
        <w:t>evaluación</w:t>
      </w:r>
      <w:proofErr w:type="spellEnd"/>
      <w:r w:rsidRPr="000575E0">
        <w:t xml:space="preserve"> </w:t>
      </w:r>
      <w:proofErr w:type="spellStart"/>
      <w:r w:rsidRPr="000575E0">
        <w:t>en</w:t>
      </w:r>
      <w:proofErr w:type="spellEnd"/>
      <w:r w:rsidRPr="000575E0">
        <w:t xml:space="preserve"> </w:t>
      </w:r>
      <w:proofErr w:type="spellStart"/>
      <w:r w:rsidRPr="000575E0">
        <w:t>ensayos</w:t>
      </w:r>
      <w:proofErr w:type="spellEnd"/>
      <w:r w:rsidRPr="000575E0">
        <w:t xml:space="preserve"> de </w:t>
      </w:r>
      <w:proofErr w:type="spellStart"/>
      <w:r w:rsidRPr="000575E0">
        <w:t>control</w:t>
      </w:r>
      <w:proofErr w:type="spellEnd"/>
      <w:r w:rsidRPr="000575E0">
        <w:t xml:space="preserve"> de </w:t>
      </w:r>
      <w:proofErr w:type="spellStart"/>
      <w:r w:rsidRPr="000575E0">
        <w:t>malezas</w:t>
      </w:r>
      <w:proofErr w:type="spellEnd"/>
      <w:r w:rsidRPr="000575E0">
        <w:t>. ALAM, v.1, n.1, p.35-38, 1974.</w:t>
      </w:r>
    </w:p>
    <w:p w14:paraId="31FB16BC" w14:textId="77777777" w:rsidR="00D83456" w:rsidRDefault="00D83456" w:rsidP="00D83456">
      <w:pPr>
        <w:spacing w:line="360" w:lineRule="auto"/>
        <w:jc w:val="both"/>
        <w:rPr>
          <w:lang w:val="en-US"/>
        </w:rPr>
      </w:pPr>
      <w:r w:rsidRPr="0092585D">
        <w:rPr>
          <w:lang w:val="en-US"/>
        </w:rPr>
        <w:t>Alekseeva,</w:t>
      </w:r>
      <w:r>
        <w:rPr>
          <w:lang w:val="en-US"/>
        </w:rPr>
        <w:t xml:space="preserve"> T.;</w:t>
      </w:r>
      <w:r w:rsidRPr="0092585D">
        <w:rPr>
          <w:lang w:val="en-US"/>
        </w:rPr>
        <w:t xml:space="preserve"> </w:t>
      </w:r>
      <w:proofErr w:type="spellStart"/>
      <w:r w:rsidRPr="0092585D">
        <w:rPr>
          <w:lang w:val="en-US"/>
        </w:rPr>
        <w:t>Kolyagi</w:t>
      </w:r>
      <w:r>
        <w:rPr>
          <w:lang w:val="en-US"/>
        </w:rPr>
        <w:t>n</w:t>
      </w:r>
      <w:proofErr w:type="spellEnd"/>
      <w:r>
        <w:rPr>
          <w:lang w:val="en-US"/>
        </w:rPr>
        <w:t>,</w:t>
      </w:r>
      <w:r w:rsidRPr="0092585D">
        <w:rPr>
          <w:lang w:val="en-US"/>
        </w:rPr>
        <w:t xml:space="preserve"> Y.</w:t>
      </w:r>
      <w:r>
        <w:rPr>
          <w:lang w:val="en-US"/>
        </w:rPr>
        <w:t xml:space="preserve">; </w:t>
      </w:r>
      <w:proofErr w:type="spellStart"/>
      <w:r>
        <w:rPr>
          <w:lang w:val="en-US"/>
        </w:rPr>
        <w:t>Sancelme</w:t>
      </w:r>
      <w:proofErr w:type="spellEnd"/>
      <w:r>
        <w:rPr>
          <w:lang w:val="en-US"/>
        </w:rPr>
        <w:t xml:space="preserve">, M.; </w:t>
      </w:r>
      <w:proofErr w:type="spellStart"/>
      <w:r>
        <w:rPr>
          <w:lang w:val="en-US"/>
        </w:rPr>
        <w:t>Besse-Hoggan</w:t>
      </w:r>
      <w:proofErr w:type="spellEnd"/>
      <w:r>
        <w:rPr>
          <w:lang w:val="en-US"/>
        </w:rPr>
        <w:t xml:space="preserve">, P. </w:t>
      </w:r>
      <w:r w:rsidRPr="0092585D">
        <w:rPr>
          <w:lang w:val="en-US"/>
        </w:rPr>
        <w:t xml:space="preserve">Effect of soil properties on pure and formulated </w:t>
      </w:r>
      <w:proofErr w:type="spellStart"/>
      <w:r w:rsidRPr="0092585D">
        <w:rPr>
          <w:lang w:val="en-US"/>
        </w:rPr>
        <w:t>mesotrione</w:t>
      </w:r>
      <w:proofErr w:type="spellEnd"/>
      <w:r w:rsidRPr="0092585D">
        <w:rPr>
          <w:lang w:val="en-US"/>
        </w:rPr>
        <w:t xml:space="preserve"> adsorption onto </w:t>
      </w:r>
      <w:proofErr w:type="spellStart"/>
      <w:r w:rsidRPr="0092585D">
        <w:rPr>
          <w:lang w:val="en-US"/>
        </w:rPr>
        <w:t>vertisol</w:t>
      </w:r>
      <w:proofErr w:type="spellEnd"/>
      <w:r w:rsidRPr="0092585D">
        <w:rPr>
          <w:lang w:val="en-US"/>
        </w:rPr>
        <w:t xml:space="preserve"> (</w:t>
      </w:r>
      <w:proofErr w:type="spellStart"/>
      <w:r w:rsidRPr="0092585D">
        <w:rPr>
          <w:lang w:val="en-US"/>
        </w:rPr>
        <w:t>Lima</w:t>
      </w:r>
      <w:r>
        <w:rPr>
          <w:lang w:val="en-US"/>
        </w:rPr>
        <w:t>gne</w:t>
      </w:r>
      <w:proofErr w:type="spellEnd"/>
      <w:r>
        <w:rPr>
          <w:lang w:val="en-US"/>
        </w:rPr>
        <w:t xml:space="preserve"> plane, Puy-de-Dome, France). </w:t>
      </w:r>
      <w:r w:rsidRPr="0092585D">
        <w:rPr>
          <w:b/>
          <w:lang w:val="en-US"/>
        </w:rPr>
        <w:t>Chemosphere</w:t>
      </w:r>
      <w:r w:rsidRPr="0092585D">
        <w:rPr>
          <w:lang w:val="en-US"/>
        </w:rPr>
        <w:t xml:space="preserve">, </w:t>
      </w:r>
      <w:r>
        <w:rPr>
          <w:lang w:val="en-US"/>
        </w:rPr>
        <w:t xml:space="preserve">v. </w:t>
      </w:r>
      <w:r w:rsidRPr="0092585D">
        <w:rPr>
          <w:lang w:val="en-US"/>
        </w:rPr>
        <w:t>111</w:t>
      </w:r>
      <w:r>
        <w:rPr>
          <w:lang w:val="en-US"/>
        </w:rPr>
        <w:t>, p</w:t>
      </w:r>
      <w:r w:rsidRPr="0092585D">
        <w:rPr>
          <w:lang w:val="en-US"/>
        </w:rPr>
        <w:t>. 177-183</w:t>
      </w:r>
      <w:r>
        <w:rPr>
          <w:lang w:val="en-US"/>
        </w:rPr>
        <w:t>, 2014.</w:t>
      </w:r>
      <w:r w:rsidRPr="0092585D">
        <w:rPr>
          <w:lang w:val="en-US"/>
        </w:rPr>
        <w:t xml:space="preserve"> </w:t>
      </w:r>
    </w:p>
    <w:p w14:paraId="08A40809" w14:textId="77777777" w:rsidR="00D83456" w:rsidRDefault="00D83456" w:rsidP="002E5C01">
      <w:pPr>
        <w:spacing w:after="120" w:line="480" w:lineRule="auto"/>
        <w:jc w:val="both"/>
        <w:rPr>
          <w:lang w:val="en-US"/>
        </w:rPr>
      </w:pPr>
      <w:r w:rsidRPr="000575E0">
        <w:t xml:space="preserve">Andrade, S. R. B.; Silva, A. A.; Lima, C. F.; D’antonino, L.; Queiroz, M. E. L. R.; França, A. C.; Felipe, R. S.; Victoria Filho, R. Lixiviação do </w:t>
      </w:r>
      <w:proofErr w:type="spellStart"/>
      <w:r w:rsidRPr="000575E0">
        <w:t>ametryn</w:t>
      </w:r>
      <w:proofErr w:type="spellEnd"/>
      <w:r w:rsidRPr="000575E0">
        <w:t xml:space="preserve"> em </w:t>
      </w:r>
      <w:proofErr w:type="spellStart"/>
      <w:r w:rsidRPr="000575E0">
        <w:t>Argissolo</w:t>
      </w:r>
      <w:proofErr w:type="spellEnd"/>
      <w:r w:rsidRPr="000575E0">
        <w:t xml:space="preserve"> Vermelho-Amarelo e Latossolo Vermelho-Amarelo, com diferentes valores de pH. </w:t>
      </w:r>
      <w:r w:rsidRPr="000575E0">
        <w:rPr>
          <w:b/>
          <w:lang w:val="en-US"/>
        </w:rPr>
        <w:t xml:space="preserve">Planta </w:t>
      </w:r>
      <w:proofErr w:type="spellStart"/>
      <w:r w:rsidRPr="000575E0">
        <w:rPr>
          <w:b/>
          <w:lang w:val="en-US"/>
        </w:rPr>
        <w:t>Daninha</w:t>
      </w:r>
      <w:proofErr w:type="spellEnd"/>
      <w:r w:rsidRPr="000575E0">
        <w:rPr>
          <w:lang w:val="en-US"/>
        </w:rPr>
        <w:t>, v. 28, n. 3, p. 655-663, 2010.</w:t>
      </w:r>
    </w:p>
    <w:p w14:paraId="17D4FDAA" w14:textId="77777777" w:rsidR="00D83456" w:rsidRPr="000575E0" w:rsidRDefault="00D83456" w:rsidP="002E5C01">
      <w:pPr>
        <w:spacing w:line="480" w:lineRule="auto"/>
        <w:jc w:val="both"/>
      </w:pPr>
      <w:proofErr w:type="spellStart"/>
      <w:r w:rsidRPr="000575E0">
        <w:rPr>
          <w:lang w:val="en-US"/>
        </w:rPr>
        <w:t>Beketov</w:t>
      </w:r>
      <w:proofErr w:type="spellEnd"/>
      <w:r w:rsidRPr="000575E0">
        <w:rPr>
          <w:lang w:val="en-US"/>
        </w:rPr>
        <w:t xml:space="preserve">, M. A.; </w:t>
      </w:r>
      <w:proofErr w:type="spellStart"/>
      <w:r w:rsidRPr="000575E0">
        <w:rPr>
          <w:lang w:val="en-US"/>
        </w:rPr>
        <w:t>Kefford</w:t>
      </w:r>
      <w:proofErr w:type="spellEnd"/>
      <w:r w:rsidRPr="000575E0">
        <w:rPr>
          <w:lang w:val="en-US"/>
        </w:rPr>
        <w:t xml:space="preserve">, B. J.; Schäfer, </w:t>
      </w:r>
      <w:proofErr w:type="gramStart"/>
      <w:r w:rsidRPr="000575E0">
        <w:rPr>
          <w:lang w:val="en-US"/>
        </w:rPr>
        <w:t>R .</w:t>
      </w:r>
      <w:proofErr w:type="gramEnd"/>
      <w:r w:rsidRPr="000575E0">
        <w:rPr>
          <w:lang w:val="en-US"/>
        </w:rPr>
        <w:t xml:space="preserve">B.; </w:t>
      </w:r>
      <w:proofErr w:type="spellStart"/>
      <w:r w:rsidRPr="000575E0">
        <w:rPr>
          <w:lang w:val="en-US"/>
        </w:rPr>
        <w:t>Liess</w:t>
      </w:r>
      <w:proofErr w:type="spellEnd"/>
      <w:r w:rsidRPr="000575E0">
        <w:rPr>
          <w:lang w:val="en-US"/>
        </w:rPr>
        <w:t xml:space="preserve">, M. Pesticides reduce regional biodiversity of stream invertebrates. </w:t>
      </w:r>
      <w:proofErr w:type="spellStart"/>
      <w:r w:rsidRPr="000575E0">
        <w:rPr>
          <w:b/>
        </w:rPr>
        <w:t>Proceedings</w:t>
      </w:r>
      <w:proofErr w:type="spellEnd"/>
      <w:r w:rsidRPr="000575E0">
        <w:rPr>
          <w:b/>
        </w:rPr>
        <w:t xml:space="preserve"> </w:t>
      </w:r>
      <w:proofErr w:type="spellStart"/>
      <w:r w:rsidRPr="000575E0">
        <w:rPr>
          <w:b/>
        </w:rPr>
        <w:t>of</w:t>
      </w:r>
      <w:proofErr w:type="spellEnd"/>
      <w:r w:rsidRPr="000575E0">
        <w:rPr>
          <w:b/>
        </w:rPr>
        <w:t xml:space="preserve"> </w:t>
      </w:r>
      <w:proofErr w:type="spellStart"/>
      <w:r w:rsidRPr="000575E0">
        <w:rPr>
          <w:b/>
        </w:rPr>
        <w:t>the</w:t>
      </w:r>
      <w:proofErr w:type="spellEnd"/>
      <w:r w:rsidRPr="000575E0">
        <w:rPr>
          <w:b/>
        </w:rPr>
        <w:t xml:space="preserve"> </w:t>
      </w:r>
      <w:proofErr w:type="spellStart"/>
      <w:r w:rsidRPr="000575E0">
        <w:rPr>
          <w:b/>
        </w:rPr>
        <w:t>National</w:t>
      </w:r>
      <w:proofErr w:type="spellEnd"/>
      <w:r w:rsidRPr="000575E0">
        <w:rPr>
          <w:b/>
        </w:rPr>
        <w:t xml:space="preserve"> </w:t>
      </w:r>
      <w:proofErr w:type="spellStart"/>
      <w:r w:rsidRPr="000575E0">
        <w:rPr>
          <w:b/>
        </w:rPr>
        <w:t>Academy</w:t>
      </w:r>
      <w:proofErr w:type="spellEnd"/>
      <w:r w:rsidRPr="000575E0">
        <w:rPr>
          <w:b/>
        </w:rPr>
        <w:t xml:space="preserve"> </w:t>
      </w:r>
      <w:proofErr w:type="spellStart"/>
      <w:r w:rsidRPr="000575E0">
        <w:rPr>
          <w:b/>
        </w:rPr>
        <w:t>of</w:t>
      </w:r>
      <w:proofErr w:type="spellEnd"/>
      <w:r w:rsidRPr="000575E0">
        <w:rPr>
          <w:b/>
        </w:rPr>
        <w:t xml:space="preserve"> </w:t>
      </w:r>
      <w:proofErr w:type="spellStart"/>
      <w:r w:rsidRPr="000575E0">
        <w:rPr>
          <w:b/>
        </w:rPr>
        <w:t>Sciences</w:t>
      </w:r>
      <w:proofErr w:type="spellEnd"/>
      <w:r w:rsidRPr="000575E0">
        <w:rPr>
          <w:b/>
        </w:rPr>
        <w:t xml:space="preserve"> </w:t>
      </w:r>
      <w:proofErr w:type="spellStart"/>
      <w:r w:rsidRPr="000575E0">
        <w:rPr>
          <w:b/>
        </w:rPr>
        <w:t>of</w:t>
      </w:r>
      <w:proofErr w:type="spellEnd"/>
      <w:r w:rsidRPr="000575E0">
        <w:rPr>
          <w:b/>
        </w:rPr>
        <w:t xml:space="preserve"> United </w:t>
      </w:r>
      <w:proofErr w:type="spellStart"/>
      <w:r w:rsidRPr="000575E0">
        <w:rPr>
          <w:b/>
        </w:rPr>
        <w:t>States</w:t>
      </w:r>
      <w:proofErr w:type="spellEnd"/>
      <w:r w:rsidRPr="000575E0">
        <w:rPr>
          <w:b/>
        </w:rPr>
        <w:t xml:space="preserve"> </w:t>
      </w:r>
      <w:proofErr w:type="spellStart"/>
      <w:r w:rsidRPr="000575E0">
        <w:rPr>
          <w:b/>
        </w:rPr>
        <w:t>of</w:t>
      </w:r>
      <w:proofErr w:type="spellEnd"/>
      <w:r w:rsidRPr="000575E0">
        <w:rPr>
          <w:b/>
        </w:rPr>
        <w:t xml:space="preserve"> </w:t>
      </w:r>
      <w:proofErr w:type="spellStart"/>
      <w:r w:rsidRPr="000575E0">
        <w:rPr>
          <w:b/>
        </w:rPr>
        <w:t>America</w:t>
      </w:r>
      <w:proofErr w:type="spellEnd"/>
      <w:r w:rsidRPr="000575E0">
        <w:t>, v. 110, p. 11039-11043, 2013.</w:t>
      </w:r>
    </w:p>
    <w:p w14:paraId="611425AB" w14:textId="77777777" w:rsidR="00D83456" w:rsidRPr="000575E0" w:rsidRDefault="00D83456" w:rsidP="002E5C01">
      <w:pPr>
        <w:spacing w:after="120" w:line="480" w:lineRule="auto"/>
        <w:jc w:val="both"/>
        <w:rPr>
          <w:lang w:val="en-US"/>
        </w:rPr>
      </w:pPr>
      <w:r w:rsidRPr="000575E0">
        <w:rPr>
          <w:lang w:val="en-US"/>
        </w:rPr>
        <w:t xml:space="preserve">Braga, D. F.; Freitas, F. C. L.; Rocha, P. R. R.; Araújo, A. G. D.; Melo, V. C. Leaching of </w:t>
      </w:r>
      <w:proofErr w:type="spellStart"/>
      <w:r w:rsidRPr="000575E0">
        <w:rPr>
          <w:lang w:val="en-US"/>
        </w:rPr>
        <w:t>Sulfentrazone</w:t>
      </w:r>
      <w:proofErr w:type="spellEnd"/>
      <w:r w:rsidRPr="000575E0">
        <w:rPr>
          <w:lang w:val="en-US"/>
        </w:rPr>
        <w:t xml:space="preserve"> in Soils from the Sugarcane Region in the Northeast Region of Brazil. </w:t>
      </w:r>
      <w:r w:rsidRPr="000575E0">
        <w:rPr>
          <w:b/>
          <w:lang w:val="en-US"/>
        </w:rPr>
        <w:t xml:space="preserve">Planta </w:t>
      </w:r>
      <w:proofErr w:type="spellStart"/>
      <w:r w:rsidRPr="000575E0">
        <w:rPr>
          <w:b/>
          <w:lang w:val="en-US"/>
        </w:rPr>
        <w:t>daninha</w:t>
      </w:r>
      <w:proofErr w:type="spellEnd"/>
      <w:r w:rsidRPr="000575E0">
        <w:rPr>
          <w:lang w:val="en-US"/>
        </w:rPr>
        <w:t>, v.34, n.1, p. 161-169, 2016.</w:t>
      </w:r>
    </w:p>
    <w:p w14:paraId="5CF5F2D3" w14:textId="77777777" w:rsidR="00D83456" w:rsidRPr="000575E0" w:rsidRDefault="00D83456" w:rsidP="002E5C01">
      <w:pPr>
        <w:spacing w:line="480" w:lineRule="auto"/>
        <w:jc w:val="both"/>
        <w:rPr>
          <w:lang w:val="en-US"/>
        </w:rPr>
      </w:pPr>
      <w:r w:rsidRPr="000575E0">
        <w:rPr>
          <w:lang w:val="en-US"/>
        </w:rPr>
        <w:lastRenderedPageBreak/>
        <w:t xml:space="preserve">Budd, C. M.; </w:t>
      </w:r>
      <w:proofErr w:type="spellStart"/>
      <w:r w:rsidRPr="000575E0">
        <w:rPr>
          <w:lang w:val="en-US"/>
        </w:rPr>
        <w:t>Soltani</w:t>
      </w:r>
      <w:proofErr w:type="spellEnd"/>
      <w:r w:rsidRPr="000575E0">
        <w:rPr>
          <w:lang w:val="en-US"/>
        </w:rPr>
        <w:t xml:space="preserve">, N.; Robinson, D. E.; Hooker, D. C.; Miller, R. T.; </w:t>
      </w:r>
      <w:proofErr w:type="spellStart"/>
      <w:r w:rsidRPr="000575E0">
        <w:rPr>
          <w:lang w:val="en-US"/>
        </w:rPr>
        <w:t>Sikkema</w:t>
      </w:r>
      <w:proofErr w:type="spellEnd"/>
      <w:r w:rsidRPr="000575E0">
        <w:rPr>
          <w:lang w:val="en-US"/>
        </w:rPr>
        <w:t>, P. H. Efficacy of Saflufenacil for Control of Glyphosate-Resistant Horseweed (</w:t>
      </w:r>
      <w:proofErr w:type="spellStart"/>
      <w:r w:rsidRPr="000575E0">
        <w:rPr>
          <w:i/>
          <w:lang w:val="en-US"/>
        </w:rPr>
        <w:t>Conyza</w:t>
      </w:r>
      <w:proofErr w:type="spellEnd"/>
      <w:r w:rsidRPr="000575E0">
        <w:rPr>
          <w:i/>
          <w:lang w:val="en-US"/>
        </w:rPr>
        <w:t xml:space="preserve"> canadensis</w:t>
      </w:r>
      <w:r w:rsidRPr="000575E0">
        <w:rPr>
          <w:lang w:val="en-US"/>
        </w:rPr>
        <w:t xml:space="preserve">) as Affected by Height, Density, and Time of Day. </w:t>
      </w:r>
      <w:r w:rsidRPr="000575E0">
        <w:rPr>
          <w:b/>
          <w:lang w:val="en-US"/>
        </w:rPr>
        <w:t>Weed Science</w:t>
      </w:r>
      <w:r w:rsidRPr="000575E0">
        <w:rPr>
          <w:lang w:val="en-US"/>
        </w:rPr>
        <w:t>, v. 65, n. 2, p. 275-284, 2017.</w:t>
      </w:r>
    </w:p>
    <w:p w14:paraId="62718375" w14:textId="77777777" w:rsidR="00D83456" w:rsidRPr="000575E0" w:rsidRDefault="00D83456" w:rsidP="002E5C01">
      <w:pPr>
        <w:spacing w:line="480" w:lineRule="auto"/>
        <w:jc w:val="both"/>
      </w:pPr>
      <w:r w:rsidRPr="000575E0">
        <w:rPr>
          <w:lang w:val="en-US"/>
        </w:rPr>
        <w:t>Crow, W. D.; Steckel, L. E.; Hayes, R. M.; Mueller, T. C. Evaluation of Post-Harvest Herbicide Applications for Seed Prevention of Glyphosate-Resistant Palmer amaranth (</w:t>
      </w:r>
      <w:r w:rsidRPr="000575E0">
        <w:rPr>
          <w:i/>
          <w:lang w:val="en-US"/>
        </w:rPr>
        <w:t xml:space="preserve">Amaranthus </w:t>
      </w:r>
      <w:proofErr w:type="spellStart"/>
      <w:r w:rsidRPr="000575E0">
        <w:rPr>
          <w:i/>
          <w:lang w:val="en-US"/>
        </w:rPr>
        <w:t>palmeri</w:t>
      </w:r>
      <w:proofErr w:type="spellEnd"/>
      <w:r w:rsidRPr="000575E0">
        <w:rPr>
          <w:lang w:val="en-US"/>
        </w:rPr>
        <w:t xml:space="preserve">). </w:t>
      </w:r>
      <w:proofErr w:type="spellStart"/>
      <w:r w:rsidRPr="000575E0">
        <w:rPr>
          <w:b/>
        </w:rPr>
        <w:t>Weed</w:t>
      </w:r>
      <w:proofErr w:type="spellEnd"/>
      <w:r w:rsidRPr="000575E0">
        <w:rPr>
          <w:b/>
        </w:rPr>
        <w:t xml:space="preserve"> </w:t>
      </w:r>
      <w:proofErr w:type="spellStart"/>
      <w:r w:rsidRPr="000575E0">
        <w:rPr>
          <w:b/>
        </w:rPr>
        <w:t>technology</w:t>
      </w:r>
      <w:proofErr w:type="spellEnd"/>
      <w:r w:rsidRPr="000575E0">
        <w:t>, v. 29, ed. 3, p. 405-411, 2015.</w:t>
      </w:r>
    </w:p>
    <w:p w14:paraId="37CD148B" w14:textId="77777777" w:rsidR="00D83456" w:rsidRPr="000575E0" w:rsidRDefault="00D83456" w:rsidP="002E5C01">
      <w:pPr>
        <w:spacing w:line="480" w:lineRule="auto"/>
        <w:jc w:val="both"/>
        <w:rPr>
          <w:lang w:val="en-US"/>
        </w:rPr>
      </w:pPr>
      <w:r w:rsidRPr="000575E0">
        <w:rPr>
          <w:lang w:val="en-US"/>
        </w:rPr>
        <w:t xml:space="preserve">Edwards, R.; Dixon, D. P.; </w:t>
      </w:r>
      <w:proofErr w:type="spellStart"/>
      <w:r w:rsidRPr="000575E0">
        <w:rPr>
          <w:lang w:val="en-US"/>
        </w:rPr>
        <w:t>Walbot</w:t>
      </w:r>
      <w:proofErr w:type="spellEnd"/>
      <w:r w:rsidRPr="000575E0">
        <w:rPr>
          <w:lang w:val="en-US"/>
        </w:rPr>
        <w:t xml:space="preserve">, V. Plant glutathione S-transferases: enzymes with multiple </w:t>
      </w:r>
      <w:proofErr w:type="spellStart"/>
      <w:r w:rsidRPr="000575E0">
        <w:rPr>
          <w:lang w:val="en-US"/>
        </w:rPr>
        <w:t>functionsin</w:t>
      </w:r>
      <w:proofErr w:type="spellEnd"/>
      <w:r w:rsidRPr="000575E0">
        <w:rPr>
          <w:lang w:val="en-US"/>
        </w:rPr>
        <w:t xml:space="preserve"> sickness and in health. </w:t>
      </w:r>
      <w:r w:rsidRPr="000575E0">
        <w:rPr>
          <w:b/>
          <w:lang w:val="en-US"/>
        </w:rPr>
        <w:t>Trends in Plant Science</w:t>
      </w:r>
      <w:r w:rsidRPr="000575E0">
        <w:rPr>
          <w:lang w:val="en-US"/>
        </w:rPr>
        <w:t>, v. 5, n. 5, p. 193-198, 2000.</w:t>
      </w:r>
    </w:p>
    <w:p w14:paraId="5199E7B2" w14:textId="77777777" w:rsidR="00D83456" w:rsidRPr="000575E0" w:rsidRDefault="00D83456" w:rsidP="002E5C01">
      <w:pPr>
        <w:spacing w:line="480" w:lineRule="auto"/>
        <w:jc w:val="both"/>
      </w:pPr>
      <w:r w:rsidRPr="000575E0">
        <w:rPr>
          <w:lang w:val="en-US"/>
        </w:rPr>
        <w:t xml:space="preserve">FAO (2018) – Food and Agriculture Organization of the United Nations. </w:t>
      </w:r>
      <w:r w:rsidRPr="000575E0">
        <w:t xml:space="preserve">FAOSTAT. Disponível em: &lt;http://www.fao.org/faostat/en/#data/RP &gt;. Visualizado em: 16 de março de 2018. </w:t>
      </w:r>
    </w:p>
    <w:p w14:paraId="185A7148" w14:textId="77777777" w:rsidR="00D83456" w:rsidRPr="000575E0" w:rsidRDefault="00D83456" w:rsidP="002E5C01">
      <w:pPr>
        <w:spacing w:after="240" w:line="480" w:lineRule="auto"/>
        <w:jc w:val="both"/>
      </w:pPr>
      <w:proofErr w:type="spellStart"/>
      <w:r w:rsidRPr="000575E0">
        <w:rPr>
          <w:lang w:val="en-US"/>
        </w:rPr>
        <w:t>Faria</w:t>
      </w:r>
      <w:proofErr w:type="spellEnd"/>
      <w:r w:rsidRPr="000575E0">
        <w:rPr>
          <w:lang w:val="en-US"/>
        </w:rPr>
        <w:t xml:space="preserve">, A. T.; Souza, M. F.; </w:t>
      </w:r>
      <w:proofErr w:type="spellStart"/>
      <w:r w:rsidRPr="000575E0">
        <w:rPr>
          <w:lang w:val="en-US"/>
        </w:rPr>
        <w:t>Passos</w:t>
      </w:r>
      <w:proofErr w:type="spellEnd"/>
      <w:r w:rsidRPr="000575E0">
        <w:rPr>
          <w:lang w:val="en-US"/>
        </w:rPr>
        <w:t xml:space="preserve">, A. B. R. J.; Silva, A. A.; Silva, D. V.; </w:t>
      </w:r>
      <w:proofErr w:type="spellStart"/>
      <w:r w:rsidRPr="000575E0">
        <w:rPr>
          <w:lang w:val="en-US"/>
        </w:rPr>
        <w:t>Zanuncio</w:t>
      </w:r>
      <w:proofErr w:type="spellEnd"/>
      <w:r w:rsidRPr="000575E0">
        <w:rPr>
          <w:lang w:val="en-US"/>
        </w:rPr>
        <w:t xml:space="preserve">, J. C.; Rocha, P. R. R. </w:t>
      </w:r>
      <w:proofErr w:type="spellStart"/>
      <w:r w:rsidRPr="000575E0">
        <w:rPr>
          <w:lang w:val="en-US"/>
        </w:rPr>
        <w:t>Tebuthiuron</w:t>
      </w:r>
      <w:proofErr w:type="spellEnd"/>
      <w:r w:rsidRPr="000575E0">
        <w:rPr>
          <w:lang w:val="en-US"/>
        </w:rPr>
        <w:t xml:space="preserve"> leaching in three Brazilian soils as affected by soil </w:t>
      </w:r>
      <w:proofErr w:type="spellStart"/>
      <w:r w:rsidRPr="000575E0">
        <w:rPr>
          <w:lang w:val="en-US"/>
        </w:rPr>
        <w:t>pH.</w:t>
      </w:r>
      <w:proofErr w:type="spellEnd"/>
      <w:r w:rsidRPr="000575E0">
        <w:rPr>
          <w:lang w:val="en-US"/>
        </w:rPr>
        <w:t xml:space="preserve"> </w:t>
      </w:r>
      <w:r w:rsidRPr="000575E0">
        <w:rPr>
          <w:b/>
        </w:rPr>
        <w:t xml:space="preserve">Environmental Earth </w:t>
      </w:r>
      <w:proofErr w:type="spellStart"/>
      <w:r w:rsidRPr="000575E0">
        <w:rPr>
          <w:b/>
        </w:rPr>
        <w:t>Sciences</w:t>
      </w:r>
      <w:proofErr w:type="spellEnd"/>
      <w:r w:rsidRPr="000575E0">
        <w:t>, v. 77, p. 1-12, 2018.</w:t>
      </w:r>
    </w:p>
    <w:p w14:paraId="60B893EC" w14:textId="77777777" w:rsidR="00D83456" w:rsidRPr="000575E0" w:rsidRDefault="00D83456" w:rsidP="002E5C01">
      <w:pPr>
        <w:spacing w:line="480" w:lineRule="auto"/>
        <w:jc w:val="both"/>
      </w:pPr>
      <w:r w:rsidRPr="000575E0">
        <w:t xml:space="preserve">Freitas, M.A.M.; Passos, A.B.R.J.; Torres, L.G.; Moraes, H.M.F.; Faustino, L.A.; Rocha, P.R.R.; Silva, A.A. Sorção do </w:t>
      </w:r>
      <w:proofErr w:type="spellStart"/>
      <w:r w:rsidRPr="000575E0">
        <w:t>sulfentrazone</w:t>
      </w:r>
      <w:proofErr w:type="spellEnd"/>
      <w:r w:rsidRPr="000575E0">
        <w:t xml:space="preserve"> em diferentes tipos de solo determinada por </w:t>
      </w:r>
      <w:proofErr w:type="spellStart"/>
      <w:r w:rsidRPr="000575E0">
        <w:t>bioensaios</w:t>
      </w:r>
      <w:proofErr w:type="spellEnd"/>
      <w:r w:rsidRPr="000575E0">
        <w:t xml:space="preserve">. </w:t>
      </w:r>
      <w:r w:rsidRPr="000575E0">
        <w:rPr>
          <w:b/>
        </w:rPr>
        <w:t>Planta Daninha</w:t>
      </w:r>
      <w:r w:rsidRPr="000575E0">
        <w:t>, Viçosa-MG, v. 32, n. 2, p. 385-392, 2014.</w:t>
      </w:r>
    </w:p>
    <w:p w14:paraId="240FAA7D" w14:textId="77777777" w:rsidR="00D83456" w:rsidRPr="000575E0" w:rsidRDefault="00D83456" w:rsidP="002E5C01">
      <w:pPr>
        <w:spacing w:line="480" w:lineRule="auto"/>
        <w:jc w:val="both"/>
      </w:pPr>
      <w:r w:rsidRPr="000575E0">
        <w:rPr>
          <w:lang w:val="en-US"/>
        </w:rPr>
        <w:t xml:space="preserve">Gannon, T. W.; Hixson, A. C.; Keller, K. E.; Weber, J. B.; </w:t>
      </w:r>
      <w:proofErr w:type="spellStart"/>
      <w:r w:rsidRPr="000575E0">
        <w:rPr>
          <w:lang w:val="en-US"/>
        </w:rPr>
        <w:t>Knezevic</w:t>
      </w:r>
      <w:proofErr w:type="spellEnd"/>
      <w:r w:rsidRPr="000575E0">
        <w:rPr>
          <w:lang w:val="en-US"/>
        </w:rPr>
        <w:t xml:space="preserve">, S. Z.; Yelverton, F. H. </w:t>
      </w:r>
      <w:proofErr w:type="spellStart"/>
      <w:r w:rsidRPr="000575E0">
        <w:t>Soil</w:t>
      </w:r>
      <w:proofErr w:type="spellEnd"/>
      <w:r w:rsidRPr="000575E0">
        <w:t xml:space="preserve"> </w:t>
      </w:r>
      <w:proofErr w:type="spellStart"/>
      <w:r w:rsidRPr="000575E0">
        <w:t>Properties</w:t>
      </w:r>
      <w:proofErr w:type="spellEnd"/>
      <w:r w:rsidRPr="000575E0">
        <w:t xml:space="preserve"> </w:t>
      </w:r>
      <w:proofErr w:type="spellStart"/>
      <w:r w:rsidRPr="000575E0">
        <w:t>Influence</w:t>
      </w:r>
      <w:proofErr w:type="spellEnd"/>
      <w:r w:rsidRPr="000575E0">
        <w:t xml:space="preserve"> Saflufenacil </w:t>
      </w:r>
      <w:proofErr w:type="spellStart"/>
      <w:r w:rsidRPr="000575E0">
        <w:t>Phytotoxicity</w:t>
      </w:r>
      <w:proofErr w:type="spellEnd"/>
      <w:r w:rsidRPr="000575E0">
        <w:t xml:space="preserve">. </w:t>
      </w:r>
      <w:proofErr w:type="spellStart"/>
      <w:r w:rsidRPr="000575E0">
        <w:rPr>
          <w:b/>
        </w:rPr>
        <w:t>Weed</w:t>
      </w:r>
      <w:proofErr w:type="spellEnd"/>
      <w:r w:rsidRPr="000575E0">
        <w:rPr>
          <w:b/>
        </w:rPr>
        <w:t xml:space="preserve"> Science</w:t>
      </w:r>
      <w:r w:rsidRPr="000575E0">
        <w:t>, v. 62, n. 657–663, 2014.</w:t>
      </w:r>
    </w:p>
    <w:p w14:paraId="080C4A84" w14:textId="77777777" w:rsidR="00D83456" w:rsidRPr="000575E0" w:rsidRDefault="00D83456" w:rsidP="002E5C01">
      <w:pPr>
        <w:spacing w:line="480" w:lineRule="auto"/>
        <w:jc w:val="both"/>
      </w:pPr>
      <w:proofErr w:type="spellStart"/>
      <w:r w:rsidRPr="000575E0">
        <w:t>Gherardi</w:t>
      </w:r>
      <w:proofErr w:type="spellEnd"/>
      <w:r w:rsidRPr="000575E0">
        <w:t xml:space="preserve">-Goldstein, E.; </w:t>
      </w:r>
      <w:proofErr w:type="spellStart"/>
      <w:r w:rsidRPr="000575E0">
        <w:t>Bertoletti</w:t>
      </w:r>
      <w:proofErr w:type="spellEnd"/>
      <w:r w:rsidRPr="000575E0">
        <w:t xml:space="preserve">, E.; </w:t>
      </w:r>
      <w:proofErr w:type="spellStart"/>
      <w:r w:rsidRPr="000575E0">
        <w:t>Zagatto</w:t>
      </w:r>
      <w:proofErr w:type="spellEnd"/>
      <w:r w:rsidRPr="000575E0">
        <w:t>, P. A.; Araújo, R. P. A.; Ramos, M. L. L. C. Procedimentos para Utilização de Testes de Toxicidade no Controle de Efluentes Líquidos, Companhia de Tecnologia de Saneamento Ambiental (CETESB): São Paulo, 1990.</w:t>
      </w:r>
    </w:p>
    <w:p w14:paraId="5A9359E8" w14:textId="77777777" w:rsidR="00D83456" w:rsidRPr="000575E0" w:rsidRDefault="00D83456" w:rsidP="002E5C01">
      <w:pPr>
        <w:spacing w:line="480" w:lineRule="auto"/>
        <w:jc w:val="both"/>
        <w:rPr>
          <w:lang w:val="en-US"/>
        </w:rPr>
      </w:pPr>
      <w:r w:rsidRPr="000575E0">
        <w:rPr>
          <w:lang w:val="en-US"/>
        </w:rPr>
        <w:lastRenderedPageBreak/>
        <w:t xml:space="preserve">Hoagland, D.; </w:t>
      </w:r>
      <w:proofErr w:type="spellStart"/>
      <w:r w:rsidRPr="000575E0">
        <w:rPr>
          <w:lang w:val="en-US"/>
        </w:rPr>
        <w:t>Arnon</w:t>
      </w:r>
      <w:proofErr w:type="spellEnd"/>
      <w:r w:rsidRPr="000575E0">
        <w:rPr>
          <w:lang w:val="en-US"/>
        </w:rPr>
        <w:t>, D. I. The water culture method for growing plants without soil. California Agriculture Experimental Station Circular, 1950. 347 p.</w:t>
      </w:r>
    </w:p>
    <w:p w14:paraId="61ECFCB6" w14:textId="77777777" w:rsidR="00D83456" w:rsidRPr="000575E0" w:rsidRDefault="00D83456" w:rsidP="002E5C01">
      <w:pPr>
        <w:spacing w:line="480" w:lineRule="auto"/>
        <w:jc w:val="both"/>
        <w:rPr>
          <w:lang w:val="en-US"/>
        </w:rPr>
      </w:pPr>
      <w:proofErr w:type="spellStart"/>
      <w:r w:rsidRPr="000575E0">
        <w:rPr>
          <w:lang w:val="en-US"/>
        </w:rPr>
        <w:t>Kerminen</w:t>
      </w:r>
      <w:proofErr w:type="spellEnd"/>
      <w:r w:rsidRPr="000575E0">
        <w:rPr>
          <w:lang w:val="en-US"/>
        </w:rPr>
        <w:t xml:space="preserve">, K.; Le </w:t>
      </w:r>
      <w:proofErr w:type="spellStart"/>
      <w:r w:rsidRPr="000575E0">
        <w:rPr>
          <w:lang w:val="en-US"/>
        </w:rPr>
        <w:t>Moel</w:t>
      </w:r>
      <w:proofErr w:type="spellEnd"/>
      <w:r w:rsidRPr="000575E0">
        <w:rPr>
          <w:lang w:val="en-US"/>
        </w:rPr>
        <w:t xml:space="preserve">, R.; Harju, V.; </w:t>
      </w:r>
      <w:proofErr w:type="spellStart"/>
      <w:r w:rsidRPr="000575E0">
        <w:rPr>
          <w:lang w:val="en-US"/>
        </w:rPr>
        <w:t>Kontro</w:t>
      </w:r>
      <w:proofErr w:type="spellEnd"/>
      <w:r w:rsidRPr="000575E0">
        <w:rPr>
          <w:lang w:val="en-US"/>
        </w:rPr>
        <w:t xml:space="preserve">, M. H. Influence of organic matter, nutrients, and cyclodextrin on microbial and chemical herbicide and </w:t>
      </w:r>
      <w:proofErr w:type="spellStart"/>
      <w:r w:rsidRPr="000575E0">
        <w:rPr>
          <w:lang w:val="en-US"/>
        </w:rPr>
        <w:t>degradate</w:t>
      </w:r>
      <w:proofErr w:type="spellEnd"/>
      <w:r w:rsidRPr="000575E0">
        <w:rPr>
          <w:lang w:val="en-US"/>
        </w:rPr>
        <w:t xml:space="preserve"> dissipation in subsurface sediment slurries. </w:t>
      </w:r>
      <w:r w:rsidRPr="000575E0">
        <w:rPr>
          <w:b/>
          <w:lang w:val="en-US"/>
        </w:rPr>
        <w:t>Science of the Total Environment</w:t>
      </w:r>
      <w:r w:rsidRPr="000575E0">
        <w:rPr>
          <w:lang w:val="en-US"/>
        </w:rPr>
        <w:t>, v. 618, p. 1449-1458, 2018.</w:t>
      </w:r>
    </w:p>
    <w:p w14:paraId="5BA7AD61" w14:textId="77777777" w:rsidR="00D83456" w:rsidRPr="000575E0" w:rsidRDefault="00D83456" w:rsidP="002E5C01">
      <w:pPr>
        <w:spacing w:line="480" w:lineRule="auto"/>
        <w:jc w:val="both"/>
        <w:rPr>
          <w:lang w:val="en-US"/>
        </w:rPr>
      </w:pPr>
      <w:r w:rsidRPr="000575E0">
        <w:rPr>
          <w:lang w:val="en-US"/>
        </w:rPr>
        <w:t>Law, S. E. Agricultural electrostatic spray application: a review of significant research and development during de 20</w:t>
      </w:r>
      <w:r w:rsidRPr="000575E0">
        <w:rPr>
          <w:vertAlign w:val="superscript"/>
          <w:lang w:val="en-US"/>
        </w:rPr>
        <w:t>th</w:t>
      </w:r>
      <w:r w:rsidRPr="000575E0">
        <w:rPr>
          <w:lang w:val="en-US"/>
        </w:rPr>
        <w:t xml:space="preserve"> century. </w:t>
      </w:r>
      <w:r w:rsidRPr="000575E0">
        <w:rPr>
          <w:b/>
          <w:lang w:val="en-US"/>
        </w:rPr>
        <w:t>Journal Electrostatic</w:t>
      </w:r>
      <w:r w:rsidRPr="000575E0">
        <w:rPr>
          <w:lang w:val="en-US"/>
        </w:rPr>
        <w:t>, v. 51-52, p. 25-42, 2001.</w:t>
      </w:r>
    </w:p>
    <w:p w14:paraId="4AB34538" w14:textId="77777777" w:rsidR="00D83456" w:rsidRPr="000575E0" w:rsidRDefault="00D83456" w:rsidP="002E5C01">
      <w:pPr>
        <w:spacing w:after="240" w:line="480" w:lineRule="auto"/>
        <w:jc w:val="both"/>
      </w:pPr>
      <w:r w:rsidRPr="000575E0">
        <w:t>MAPA – Ministério da Agricultura, Pecuária e Abastecimento. Disponível em: &lt; http://agrofit.agricultura.gov.br/agrofit_cons/!ap_produto_form_detalhe_cons?p_id_produto_formulado_tecnico=9299&amp;p_tipo_janela=NEW&gt;. Acesso em: 15 mar. 2018.</w:t>
      </w:r>
    </w:p>
    <w:p w14:paraId="5A734D29" w14:textId="77777777" w:rsidR="00D83456" w:rsidRPr="000575E0" w:rsidRDefault="00D83456" w:rsidP="002E5C01">
      <w:pPr>
        <w:spacing w:line="480" w:lineRule="auto"/>
        <w:jc w:val="both"/>
        <w:rPr>
          <w:lang w:val="en-US"/>
        </w:rPr>
      </w:pPr>
      <w:r w:rsidRPr="000575E0">
        <w:t xml:space="preserve">Melo, C.A.D.; Medeiros, W.N.; </w:t>
      </w:r>
      <w:proofErr w:type="spellStart"/>
      <w:r w:rsidRPr="000575E0">
        <w:t>Tuffi</w:t>
      </w:r>
      <w:proofErr w:type="spellEnd"/>
      <w:r w:rsidRPr="000575E0">
        <w:t xml:space="preserve"> Santos, L.D.; Ferreira, F.A.; </w:t>
      </w:r>
      <w:proofErr w:type="spellStart"/>
      <w:r w:rsidRPr="000575E0">
        <w:t>Tiburcio</w:t>
      </w:r>
      <w:proofErr w:type="spellEnd"/>
      <w:r w:rsidRPr="000575E0">
        <w:t xml:space="preserve">, R.A.S.; Ferreira, L.R. Lixiviação de </w:t>
      </w:r>
      <w:proofErr w:type="spellStart"/>
      <w:r w:rsidRPr="000575E0">
        <w:t>sulfentrazone</w:t>
      </w:r>
      <w:proofErr w:type="spellEnd"/>
      <w:r w:rsidRPr="000575E0">
        <w:t xml:space="preserve">, </w:t>
      </w:r>
      <w:proofErr w:type="spellStart"/>
      <w:r w:rsidRPr="000575E0">
        <w:t>isoxaflutole</w:t>
      </w:r>
      <w:proofErr w:type="spellEnd"/>
      <w:r w:rsidRPr="000575E0">
        <w:t xml:space="preserve"> e </w:t>
      </w:r>
      <w:proofErr w:type="spellStart"/>
      <w:r w:rsidRPr="000575E0">
        <w:t>oxyfluorfen</w:t>
      </w:r>
      <w:proofErr w:type="spellEnd"/>
      <w:r w:rsidRPr="000575E0">
        <w:t xml:space="preserve"> no perfil de três solos. </w:t>
      </w:r>
      <w:r w:rsidRPr="00B109DB">
        <w:rPr>
          <w:b/>
          <w:lang w:val="en-US"/>
        </w:rPr>
        <w:t xml:space="preserve">Planta </w:t>
      </w:r>
      <w:proofErr w:type="spellStart"/>
      <w:r w:rsidRPr="00B109DB">
        <w:rPr>
          <w:b/>
          <w:lang w:val="en-US"/>
        </w:rPr>
        <w:t>Daninha</w:t>
      </w:r>
      <w:proofErr w:type="spellEnd"/>
      <w:r w:rsidRPr="000575E0">
        <w:rPr>
          <w:lang w:val="en-US"/>
        </w:rPr>
        <w:t>, v. 28, n. 2, p. 385-392, 2010.</w:t>
      </w:r>
    </w:p>
    <w:p w14:paraId="1463F33E" w14:textId="77777777" w:rsidR="00D83456" w:rsidRPr="000575E0" w:rsidRDefault="00D83456" w:rsidP="002E5C01">
      <w:pPr>
        <w:spacing w:line="480" w:lineRule="auto"/>
        <w:jc w:val="both"/>
        <w:rPr>
          <w:lang w:val="en-US"/>
        </w:rPr>
      </w:pPr>
      <w:r w:rsidRPr="000575E0">
        <w:rPr>
          <w:lang w:val="en-US"/>
        </w:rPr>
        <w:t xml:space="preserve">Mendes, K. F.; Reis, M. R.; </w:t>
      </w:r>
      <w:proofErr w:type="spellStart"/>
      <w:r w:rsidRPr="000575E0">
        <w:rPr>
          <w:lang w:val="en-US"/>
        </w:rPr>
        <w:t>Passos</w:t>
      </w:r>
      <w:proofErr w:type="spellEnd"/>
      <w:r w:rsidRPr="000575E0">
        <w:rPr>
          <w:lang w:val="en-US"/>
        </w:rPr>
        <w:t>, A. B. R. J.; Inoue, M. H.; Silva, A. A.; Silva, D. V.</w:t>
      </w:r>
      <w:r w:rsidRPr="000575E0">
        <w:t xml:space="preserve"> </w:t>
      </w:r>
      <w:r w:rsidRPr="000575E0">
        <w:rPr>
          <w:lang w:val="en-US"/>
        </w:rPr>
        <w:t xml:space="preserve">Determination of oxadiazon residues in the field treated soil with and without organic matter incorporated. </w:t>
      </w:r>
      <w:r w:rsidRPr="000575E0">
        <w:rPr>
          <w:b/>
          <w:lang w:val="en-US"/>
        </w:rPr>
        <w:t>Environmental Earth Sciences</w:t>
      </w:r>
      <w:r w:rsidRPr="000575E0">
        <w:rPr>
          <w:lang w:val="en-US"/>
        </w:rPr>
        <w:t>, v. 75, n. 222, p. 1-8, 2016.</w:t>
      </w:r>
    </w:p>
    <w:p w14:paraId="597740BA" w14:textId="77777777" w:rsidR="00D83456" w:rsidRPr="000575E0" w:rsidRDefault="00D83456" w:rsidP="002E5C01">
      <w:pPr>
        <w:spacing w:line="480" w:lineRule="auto"/>
        <w:jc w:val="both"/>
      </w:pPr>
      <w:r w:rsidRPr="000575E0">
        <w:rPr>
          <w:lang w:val="en-US"/>
        </w:rPr>
        <w:t xml:space="preserve">Mendes, K.F.; Hall, K.E.; Takeshita, V.; Rossi, M. L.; </w:t>
      </w:r>
      <w:proofErr w:type="spellStart"/>
      <w:r w:rsidRPr="000575E0">
        <w:rPr>
          <w:lang w:val="en-US"/>
        </w:rPr>
        <w:t>Tornisielo</w:t>
      </w:r>
      <w:proofErr w:type="spellEnd"/>
      <w:r w:rsidRPr="000575E0">
        <w:rPr>
          <w:lang w:val="en-US"/>
        </w:rPr>
        <w:t xml:space="preserve">, V. L. Animal </w:t>
      </w:r>
      <w:proofErr w:type="spellStart"/>
      <w:r w:rsidRPr="000575E0">
        <w:rPr>
          <w:lang w:val="en-US"/>
        </w:rPr>
        <w:t>bonechar</w:t>
      </w:r>
      <w:proofErr w:type="spellEnd"/>
      <w:r w:rsidRPr="000575E0">
        <w:rPr>
          <w:lang w:val="en-US"/>
        </w:rPr>
        <w:t xml:space="preserve"> increases sorption and decreases leaching potential of </w:t>
      </w:r>
      <w:proofErr w:type="spellStart"/>
      <w:r w:rsidRPr="000575E0">
        <w:rPr>
          <w:lang w:val="en-US"/>
        </w:rPr>
        <w:t>aminocyclopyrachlor</w:t>
      </w:r>
      <w:proofErr w:type="spellEnd"/>
      <w:r w:rsidRPr="000575E0">
        <w:rPr>
          <w:lang w:val="en-US"/>
        </w:rPr>
        <w:t xml:space="preserve"> and </w:t>
      </w:r>
      <w:proofErr w:type="spellStart"/>
      <w:r w:rsidRPr="000575E0">
        <w:rPr>
          <w:lang w:val="en-US"/>
        </w:rPr>
        <w:t>mesotrione</w:t>
      </w:r>
      <w:proofErr w:type="spellEnd"/>
      <w:r w:rsidRPr="000575E0">
        <w:rPr>
          <w:lang w:val="en-US"/>
        </w:rPr>
        <w:t xml:space="preserve"> in a tropical soil. </w:t>
      </w:r>
      <w:proofErr w:type="spellStart"/>
      <w:r w:rsidRPr="000575E0">
        <w:rPr>
          <w:b/>
        </w:rPr>
        <w:t>Geoderma</w:t>
      </w:r>
      <w:proofErr w:type="spellEnd"/>
      <w:r w:rsidRPr="000575E0">
        <w:t>, v. 316, p. 11-18, 2018.</w:t>
      </w:r>
    </w:p>
    <w:p w14:paraId="4EFB0A0B" w14:textId="77777777" w:rsidR="00D83456" w:rsidRPr="000575E0" w:rsidRDefault="00D83456" w:rsidP="002E5C01">
      <w:pPr>
        <w:spacing w:line="480" w:lineRule="auto"/>
        <w:jc w:val="both"/>
        <w:rPr>
          <w:lang w:val="en-US"/>
        </w:rPr>
      </w:pPr>
      <w:r w:rsidRPr="000575E0">
        <w:rPr>
          <w:lang w:val="en-US"/>
        </w:rPr>
        <w:t xml:space="preserve">Montgomery, G. B.; Treadway, J. A.; Reeves, J. L.; Steckel, L. E. Effect of Time of Day of Application of 2,4-D, Dicamba, </w:t>
      </w:r>
      <w:proofErr w:type="spellStart"/>
      <w:r w:rsidRPr="000575E0">
        <w:rPr>
          <w:lang w:val="en-US"/>
        </w:rPr>
        <w:t>Glufosinate</w:t>
      </w:r>
      <w:proofErr w:type="spellEnd"/>
      <w:r w:rsidRPr="000575E0">
        <w:rPr>
          <w:lang w:val="en-US"/>
        </w:rPr>
        <w:t>, Paraquat, and Saflufenacil on Horseweed (</w:t>
      </w:r>
      <w:proofErr w:type="spellStart"/>
      <w:r w:rsidRPr="000575E0">
        <w:rPr>
          <w:i/>
          <w:lang w:val="en-US"/>
        </w:rPr>
        <w:t>Conyza</w:t>
      </w:r>
      <w:proofErr w:type="spellEnd"/>
      <w:r w:rsidRPr="000575E0">
        <w:rPr>
          <w:i/>
          <w:lang w:val="en-US"/>
        </w:rPr>
        <w:t xml:space="preserve"> canadensis</w:t>
      </w:r>
      <w:r w:rsidRPr="000575E0">
        <w:rPr>
          <w:lang w:val="en-US"/>
        </w:rPr>
        <w:t xml:space="preserve">) Control. </w:t>
      </w:r>
      <w:r w:rsidRPr="000575E0">
        <w:rPr>
          <w:b/>
          <w:lang w:val="en-US"/>
        </w:rPr>
        <w:t>Weed Technology</w:t>
      </w:r>
      <w:r w:rsidRPr="000575E0">
        <w:rPr>
          <w:lang w:val="en-US"/>
        </w:rPr>
        <w:t>, v. 31, n. 4, p. 550-556, 2017.</w:t>
      </w:r>
    </w:p>
    <w:p w14:paraId="0FBD261C" w14:textId="77777777" w:rsidR="00D83456" w:rsidRPr="000575E0" w:rsidRDefault="00D83456" w:rsidP="002E5C01">
      <w:pPr>
        <w:spacing w:line="480" w:lineRule="auto"/>
        <w:jc w:val="both"/>
      </w:pPr>
      <w:proofErr w:type="spellStart"/>
      <w:r w:rsidRPr="000575E0">
        <w:lastRenderedPageBreak/>
        <w:t>Pessala</w:t>
      </w:r>
      <w:proofErr w:type="spellEnd"/>
      <w:r w:rsidRPr="000575E0">
        <w:t xml:space="preserve">, P.; Schultz, E.; </w:t>
      </w:r>
      <w:proofErr w:type="spellStart"/>
      <w:r w:rsidRPr="000575E0">
        <w:t>Nakari</w:t>
      </w:r>
      <w:proofErr w:type="spellEnd"/>
      <w:r w:rsidRPr="000575E0">
        <w:t xml:space="preserve">, T.; </w:t>
      </w:r>
      <w:proofErr w:type="spellStart"/>
      <w:r w:rsidRPr="000575E0">
        <w:t>Joutti</w:t>
      </w:r>
      <w:proofErr w:type="spellEnd"/>
      <w:r w:rsidRPr="000575E0">
        <w:t xml:space="preserve">, A.; </w:t>
      </w:r>
      <w:proofErr w:type="spellStart"/>
      <w:r w:rsidRPr="000575E0">
        <w:t>Herve</w:t>
      </w:r>
      <w:proofErr w:type="spellEnd"/>
      <w:r w:rsidRPr="000575E0">
        <w:t xml:space="preserve">, S. </w:t>
      </w:r>
      <w:proofErr w:type="spellStart"/>
      <w:r w:rsidRPr="000575E0">
        <w:t>Evaluation</w:t>
      </w:r>
      <w:proofErr w:type="spellEnd"/>
      <w:r w:rsidRPr="000575E0">
        <w:t xml:space="preserve"> </w:t>
      </w:r>
      <w:proofErr w:type="spellStart"/>
      <w:r w:rsidRPr="000575E0">
        <w:t>of</w:t>
      </w:r>
      <w:proofErr w:type="spellEnd"/>
      <w:r w:rsidRPr="000575E0">
        <w:t xml:space="preserve"> </w:t>
      </w:r>
      <w:proofErr w:type="spellStart"/>
      <w:r w:rsidRPr="000575E0">
        <w:t>wastewater</w:t>
      </w:r>
      <w:proofErr w:type="spellEnd"/>
      <w:r w:rsidRPr="000575E0">
        <w:t xml:space="preserve"> </w:t>
      </w:r>
      <w:proofErr w:type="spellStart"/>
      <w:r w:rsidRPr="000575E0">
        <w:t>effluents</w:t>
      </w:r>
      <w:proofErr w:type="spellEnd"/>
      <w:r w:rsidRPr="000575E0">
        <w:t xml:space="preserve"> </w:t>
      </w:r>
      <w:proofErr w:type="spellStart"/>
      <w:r w:rsidRPr="000575E0">
        <w:t>by</w:t>
      </w:r>
      <w:proofErr w:type="spellEnd"/>
      <w:r w:rsidRPr="000575E0">
        <w:t xml:space="preserve"> </w:t>
      </w:r>
      <w:proofErr w:type="spellStart"/>
      <w:r w:rsidRPr="000575E0">
        <w:t>small-scallebiotests</w:t>
      </w:r>
      <w:proofErr w:type="spellEnd"/>
      <w:r w:rsidRPr="000575E0">
        <w:t xml:space="preserve"> </w:t>
      </w:r>
      <w:proofErr w:type="spellStart"/>
      <w:r w:rsidRPr="000575E0">
        <w:t>and</w:t>
      </w:r>
      <w:proofErr w:type="spellEnd"/>
      <w:r w:rsidRPr="000575E0">
        <w:t xml:space="preserve"> a </w:t>
      </w:r>
      <w:proofErr w:type="spellStart"/>
      <w:r w:rsidRPr="000575E0">
        <w:t>fractionation</w:t>
      </w:r>
      <w:proofErr w:type="spellEnd"/>
      <w:r w:rsidRPr="000575E0">
        <w:t xml:space="preserve"> procedure. </w:t>
      </w:r>
      <w:proofErr w:type="spellStart"/>
      <w:r w:rsidRPr="000575E0">
        <w:rPr>
          <w:b/>
        </w:rPr>
        <w:t>Ecotoxicology</w:t>
      </w:r>
      <w:proofErr w:type="spellEnd"/>
      <w:r w:rsidRPr="000575E0">
        <w:rPr>
          <w:b/>
        </w:rPr>
        <w:t xml:space="preserve"> </w:t>
      </w:r>
      <w:proofErr w:type="spellStart"/>
      <w:r w:rsidRPr="000575E0">
        <w:rPr>
          <w:b/>
        </w:rPr>
        <w:t>and</w:t>
      </w:r>
      <w:proofErr w:type="spellEnd"/>
      <w:r w:rsidRPr="000575E0">
        <w:rPr>
          <w:b/>
        </w:rPr>
        <w:t xml:space="preserve"> Environmental </w:t>
      </w:r>
      <w:proofErr w:type="spellStart"/>
      <w:r w:rsidRPr="000575E0">
        <w:rPr>
          <w:b/>
        </w:rPr>
        <w:t>Safety</w:t>
      </w:r>
      <w:proofErr w:type="spellEnd"/>
      <w:r w:rsidRPr="000575E0">
        <w:t>, v. 59, n. 2, p. 263-272, 2004.</w:t>
      </w:r>
    </w:p>
    <w:p w14:paraId="666BB90A" w14:textId="77777777" w:rsidR="00D83456" w:rsidRPr="000575E0" w:rsidRDefault="00D83456" w:rsidP="002E5C01">
      <w:pPr>
        <w:spacing w:line="480" w:lineRule="auto"/>
        <w:jc w:val="both"/>
        <w:rPr>
          <w:lang w:val="en-US"/>
        </w:rPr>
      </w:pPr>
      <w:proofErr w:type="spellStart"/>
      <w:r w:rsidRPr="000575E0">
        <w:t>Raya</w:t>
      </w:r>
      <w:proofErr w:type="spellEnd"/>
      <w:r w:rsidRPr="000575E0">
        <w:t xml:space="preserve">-Rodriguez, M. T. O Uso de </w:t>
      </w:r>
      <w:proofErr w:type="spellStart"/>
      <w:r w:rsidRPr="000575E0">
        <w:t>bioindicadores</w:t>
      </w:r>
      <w:proofErr w:type="spellEnd"/>
      <w:r w:rsidRPr="000575E0">
        <w:t xml:space="preserve"> para Avaliação da Qualidade do Ar em Porto Alegre. In: </w:t>
      </w:r>
      <w:proofErr w:type="spellStart"/>
      <w:r w:rsidRPr="000575E0">
        <w:t>Zurita</w:t>
      </w:r>
      <w:proofErr w:type="spellEnd"/>
      <w:r w:rsidRPr="000575E0">
        <w:t xml:space="preserve">, M. L. L.; </w:t>
      </w:r>
      <w:proofErr w:type="spellStart"/>
      <w:r w:rsidRPr="000575E0">
        <w:t>Tolfo</w:t>
      </w:r>
      <w:proofErr w:type="spellEnd"/>
      <w:r w:rsidRPr="000575E0">
        <w:t xml:space="preserve">, A.M. (Org.) </w:t>
      </w:r>
      <w:r w:rsidRPr="000575E0">
        <w:rPr>
          <w:b/>
        </w:rPr>
        <w:t>A Qualidade do Ar em Porto Alegre</w:t>
      </w:r>
      <w:r w:rsidRPr="000575E0">
        <w:t>. Porto Alegre, Secretaria Municipal do Meio Ambiente. 2000. p.68-76.</w:t>
      </w:r>
    </w:p>
    <w:p w14:paraId="4DA6AFAA" w14:textId="77777777" w:rsidR="00D83456" w:rsidRPr="000575E0" w:rsidRDefault="00D83456" w:rsidP="002E5C01">
      <w:pPr>
        <w:spacing w:line="480" w:lineRule="auto"/>
        <w:jc w:val="both"/>
        <w:rPr>
          <w:lang w:val="en-US"/>
        </w:rPr>
      </w:pPr>
      <w:r w:rsidRPr="000575E0">
        <w:rPr>
          <w:lang w:val="en-US"/>
        </w:rPr>
        <w:t xml:space="preserve">Riddle, R. N.; O'Sullivan, J.; Swanton, C. J.; Acker, R. C. V. Field and Greenhouse Bioassays to Determine </w:t>
      </w:r>
      <w:proofErr w:type="spellStart"/>
      <w:r w:rsidRPr="000575E0">
        <w:rPr>
          <w:lang w:val="en-US"/>
        </w:rPr>
        <w:t>Mesotrione</w:t>
      </w:r>
      <w:proofErr w:type="spellEnd"/>
      <w:r w:rsidRPr="000575E0">
        <w:rPr>
          <w:lang w:val="en-US"/>
        </w:rPr>
        <w:t xml:space="preserve"> Residues in Soil. </w:t>
      </w:r>
      <w:r w:rsidRPr="000575E0">
        <w:rPr>
          <w:b/>
          <w:lang w:val="en-US"/>
        </w:rPr>
        <w:t>Weed Technology</w:t>
      </w:r>
      <w:r w:rsidRPr="000575E0">
        <w:rPr>
          <w:lang w:val="en-US"/>
        </w:rPr>
        <w:t>, v. 27, n. 3, p. 565-572, 2013.</w:t>
      </w:r>
    </w:p>
    <w:p w14:paraId="0EADF057" w14:textId="77777777" w:rsidR="00D83456" w:rsidRPr="000575E0" w:rsidRDefault="00D83456" w:rsidP="002E5C01">
      <w:pPr>
        <w:spacing w:line="480" w:lineRule="auto"/>
        <w:jc w:val="both"/>
        <w:rPr>
          <w:lang w:val="en-US"/>
        </w:rPr>
      </w:pPr>
      <w:r w:rsidRPr="000575E0">
        <w:rPr>
          <w:lang w:val="en-US"/>
        </w:rPr>
        <w:t xml:space="preserve">Rios, S. I.; Wright, S. D.; Banuelos, G.; Shrestha, A. Tolerance of </w:t>
      </w:r>
      <w:r w:rsidRPr="000575E0">
        <w:rPr>
          <w:i/>
          <w:lang w:val="en-US"/>
        </w:rPr>
        <w:t xml:space="preserve">Amaranthus </w:t>
      </w:r>
      <w:proofErr w:type="spellStart"/>
      <w:r w:rsidRPr="000575E0">
        <w:rPr>
          <w:i/>
          <w:lang w:val="en-US"/>
        </w:rPr>
        <w:t>palmeri</w:t>
      </w:r>
      <w:proofErr w:type="spellEnd"/>
      <w:r w:rsidRPr="000575E0">
        <w:rPr>
          <w:lang w:val="en-US"/>
        </w:rPr>
        <w:t xml:space="preserve"> populations from California to postemergence herbicides at various growth stages. </w:t>
      </w:r>
      <w:r w:rsidRPr="000575E0">
        <w:rPr>
          <w:b/>
          <w:lang w:val="en-US"/>
        </w:rPr>
        <w:t>Crop protection</w:t>
      </w:r>
      <w:r w:rsidRPr="000575E0">
        <w:rPr>
          <w:lang w:val="en-US"/>
        </w:rPr>
        <w:t>, v. 87, p. 6-12, 2016.</w:t>
      </w:r>
    </w:p>
    <w:p w14:paraId="41E9FC71" w14:textId="77777777" w:rsidR="00D83456" w:rsidRPr="000575E0" w:rsidRDefault="00D83456" w:rsidP="002E5C01">
      <w:pPr>
        <w:spacing w:line="480" w:lineRule="auto"/>
        <w:jc w:val="both"/>
        <w:rPr>
          <w:lang w:val="en-US"/>
        </w:rPr>
      </w:pPr>
      <w:r w:rsidRPr="000575E0">
        <w:rPr>
          <w:lang w:val="en-US"/>
        </w:rPr>
        <w:t xml:space="preserve">Robinson, D. E.; McNaughton, K. E. Saflufenacil Carryover Injury Varies among Rotational Crops. </w:t>
      </w:r>
      <w:r w:rsidRPr="000575E0">
        <w:rPr>
          <w:b/>
          <w:lang w:val="en-US"/>
        </w:rPr>
        <w:t>Weed Technology</w:t>
      </w:r>
      <w:r w:rsidRPr="000575E0">
        <w:rPr>
          <w:lang w:val="en-US"/>
        </w:rPr>
        <w:t>, v. 26, n. 2, p. 177-182, 2012.</w:t>
      </w:r>
    </w:p>
    <w:p w14:paraId="488655CA" w14:textId="77777777" w:rsidR="00D83456" w:rsidRPr="000575E0" w:rsidRDefault="00D83456" w:rsidP="002E5C01">
      <w:pPr>
        <w:spacing w:line="480" w:lineRule="auto"/>
        <w:jc w:val="both"/>
      </w:pPr>
      <w:r w:rsidRPr="000575E0">
        <w:t xml:space="preserve">Souza, M.F., Neto, M.D.C., Marinho, M.I., Saraiva, D.T., Faria, A.T., Silva, A.A., Silva, D.V. </w:t>
      </w:r>
      <w:proofErr w:type="spellStart"/>
      <w:r w:rsidRPr="000575E0">
        <w:t>Persistence</w:t>
      </w:r>
      <w:proofErr w:type="spellEnd"/>
      <w:r w:rsidRPr="000575E0">
        <w:t xml:space="preserve"> </w:t>
      </w:r>
      <w:proofErr w:type="spellStart"/>
      <w:r w:rsidRPr="000575E0">
        <w:t>of</w:t>
      </w:r>
      <w:proofErr w:type="spellEnd"/>
      <w:r w:rsidRPr="000575E0">
        <w:t xml:space="preserve"> </w:t>
      </w:r>
      <w:proofErr w:type="spellStart"/>
      <w:r w:rsidRPr="000575E0">
        <w:t>imidazolinones</w:t>
      </w:r>
      <w:proofErr w:type="spellEnd"/>
      <w:r w:rsidRPr="000575E0">
        <w:t xml:space="preserve"> in </w:t>
      </w:r>
      <w:proofErr w:type="spellStart"/>
      <w:r w:rsidRPr="000575E0">
        <w:t>soils</w:t>
      </w:r>
      <w:proofErr w:type="spellEnd"/>
      <w:r w:rsidRPr="000575E0">
        <w:t xml:space="preserve"> </w:t>
      </w:r>
      <w:proofErr w:type="spellStart"/>
      <w:r w:rsidRPr="000575E0">
        <w:t>under</w:t>
      </w:r>
      <w:proofErr w:type="spellEnd"/>
      <w:r w:rsidRPr="000575E0">
        <w:t xml:space="preserve"> a </w:t>
      </w:r>
      <w:proofErr w:type="spellStart"/>
      <w:r w:rsidRPr="000575E0">
        <w:t>clearfield</w:t>
      </w:r>
      <w:proofErr w:type="spellEnd"/>
      <w:r w:rsidRPr="000575E0">
        <w:t xml:space="preserve"> system </w:t>
      </w:r>
      <w:proofErr w:type="spellStart"/>
      <w:r w:rsidRPr="000575E0">
        <w:t>of</w:t>
      </w:r>
      <w:proofErr w:type="spellEnd"/>
      <w:r w:rsidRPr="000575E0">
        <w:t xml:space="preserve"> rice </w:t>
      </w:r>
      <w:proofErr w:type="spellStart"/>
      <w:r w:rsidRPr="000575E0">
        <w:t>cultivation</w:t>
      </w:r>
      <w:proofErr w:type="spellEnd"/>
      <w:r w:rsidRPr="000575E0">
        <w:t xml:space="preserve">. </w:t>
      </w:r>
      <w:r w:rsidRPr="000575E0">
        <w:rPr>
          <w:b/>
        </w:rPr>
        <w:t>Planta Daninha</w:t>
      </w:r>
      <w:r w:rsidRPr="000575E0">
        <w:t>, v. 34, n. 3, p. 589-596, 2016.</w:t>
      </w:r>
    </w:p>
    <w:p w14:paraId="6495FEF2" w14:textId="77777777" w:rsidR="00D83456" w:rsidRPr="000575E0" w:rsidRDefault="00D83456" w:rsidP="002E5C01">
      <w:pPr>
        <w:spacing w:line="480" w:lineRule="auto"/>
        <w:jc w:val="both"/>
        <w:rPr>
          <w:lang w:val="en-US"/>
        </w:rPr>
      </w:pPr>
      <w:proofErr w:type="spellStart"/>
      <w:r w:rsidRPr="000575E0">
        <w:rPr>
          <w:lang w:val="en-US"/>
        </w:rPr>
        <w:t>Szmigielski</w:t>
      </w:r>
      <w:proofErr w:type="spellEnd"/>
      <w:r w:rsidRPr="000575E0">
        <w:rPr>
          <w:lang w:val="en-US"/>
        </w:rPr>
        <w:t xml:space="preserve">, A. M.; </w:t>
      </w:r>
      <w:proofErr w:type="spellStart"/>
      <w:r w:rsidRPr="000575E0">
        <w:rPr>
          <w:lang w:val="en-US"/>
        </w:rPr>
        <w:t>Schoenau</w:t>
      </w:r>
      <w:proofErr w:type="spellEnd"/>
      <w:r w:rsidRPr="000575E0">
        <w:rPr>
          <w:lang w:val="en-US"/>
        </w:rPr>
        <w:t xml:space="preserve">, J. J.; Johnson, E. N.; Holm, F. A.; Sapsford, K. L.; Liu, J. Development of a Laboratory Bioassay and Effect of Soil Properties on </w:t>
      </w:r>
      <w:proofErr w:type="spellStart"/>
      <w:r w:rsidRPr="000575E0">
        <w:rPr>
          <w:lang w:val="en-US"/>
        </w:rPr>
        <w:t>Sulfentrazone</w:t>
      </w:r>
      <w:proofErr w:type="spellEnd"/>
      <w:r w:rsidRPr="000575E0">
        <w:rPr>
          <w:lang w:val="en-US"/>
        </w:rPr>
        <w:t xml:space="preserve"> Phytotoxicity in Soil. </w:t>
      </w:r>
      <w:r w:rsidRPr="000575E0">
        <w:rPr>
          <w:b/>
          <w:lang w:val="en-US"/>
        </w:rPr>
        <w:t>Weed Technology</w:t>
      </w:r>
      <w:r w:rsidRPr="000575E0">
        <w:rPr>
          <w:lang w:val="en-US"/>
        </w:rPr>
        <w:t>, v. 23, n. 3, p. 486-491, 2009.</w:t>
      </w:r>
    </w:p>
    <w:p w14:paraId="69627E93" w14:textId="77777777" w:rsidR="00D83456" w:rsidRPr="000575E0" w:rsidRDefault="00D83456" w:rsidP="002E5C01">
      <w:pPr>
        <w:spacing w:line="480" w:lineRule="auto"/>
        <w:jc w:val="both"/>
        <w:rPr>
          <w:lang w:val="en-US"/>
        </w:rPr>
      </w:pPr>
      <w:proofErr w:type="spellStart"/>
      <w:r w:rsidRPr="000575E0">
        <w:t>Topaz</w:t>
      </w:r>
      <w:proofErr w:type="spellEnd"/>
      <w:r w:rsidRPr="000575E0">
        <w:t xml:space="preserve">, T., </w:t>
      </w:r>
      <w:proofErr w:type="spellStart"/>
      <w:r w:rsidRPr="000575E0">
        <w:t>Egozi</w:t>
      </w:r>
      <w:proofErr w:type="spellEnd"/>
      <w:r w:rsidRPr="000575E0">
        <w:t xml:space="preserve">, R., </w:t>
      </w:r>
      <w:proofErr w:type="spellStart"/>
      <w:r w:rsidRPr="000575E0">
        <w:t>Eshel</w:t>
      </w:r>
      <w:proofErr w:type="spellEnd"/>
      <w:r w:rsidRPr="000575E0">
        <w:t xml:space="preserve">, G., </w:t>
      </w:r>
      <w:proofErr w:type="spellStart"/>
      <w:r w:rsidRPr="000575E0">
        <w:t>Chefetz</w:t>
      </w:r>
      <w:proofErr w:type="spellEnd"/>
      <w:r w:rsidRPr="000575E0">
        <w:t xml:space="preserve">, B. </w:t>
      </w:r>
      <w:r w:rsidRPr="000575E0">
        <w:rPr>
          <w:lang w:val="en-US"/>
        </w:rPr>
        <w:t xml:space="preserve">Pesticide load dynamics during stormwater flow events in Mediterranean coastal streams: Alexander stream case study. </w:t>
      </w:r>
      <w:r w:rsidRPr="000575E0">
        <w:rPr>
          <w:b/>
          <w:lang w:val="en-US"/>
        </w:rPr>
        <w:t xml:space="preserve">Science of the Total Environment, </w:t>
      </w:r>
      <w:r w:rsidRPr="000575E0">
        <w:rPr>
          <w:lang w:val="en-US"/>
        </w:rPr>
        <w:t>v. 625, p. 168–177, 2018.</w:t>
      </w:r>
    </w:p>
    <w:p w14:paraId="029EC67E" w14:textId="77777777" w:rsidR="00D83456" w:rsidRDefault="00D83456" w:rsidP="00D83456">
      <w:pPr>
        <w:spacing w:after="240" w:line="480" w:lineRule="auto"/>
        <w:jc w:val="both"/>
        <w:rPr>
          <w:lang w:val="en-US"/>
        </w:rPr>
      </w:pPr>
      <w:r w:rsidRPr="00D63C27">
        <w:rPr>
          <w:lang w:val="en-US"/>
        </w:rPr>
        <w:lastRenderedPageBreak/>
        <w:t xml:space="preserve">Van </w:t>
      </w:r>
      <w:proofErr w:type="spellStart"/>
      <w:r w:rsidRPr="00D63C27">
        <w:rPr>
          <w:lang w:val="en-US"/>
        </w:rPr>
        <w:t>Stempvoort</w:t>
      </w:r>
      <w:proofErr w:type="spellEnd"/>
      <w:r>
        <w:rPr>
          <w:lang w:val="en-US"/>
        </w:rPr>
        <w:t>,</w:t>
      </w:r>
      <w:r w:rsidRPr="00D63C27">
        <w:rPr>
          <w:lang w:val="en-US"/>
        </w:rPr>
        <w:t xml:space="preserve"> </w:t>
      </w:r>
      <w:r>
        <w:rPr>
          <w:rFonts w:ascii="Cambria Math" w:hAnsi="Cambria Math" w:cs="Cambria Math"/>
          <w:lang w:val="en-US"/>
        </w:rPr>
        <w:t>D. R.</w:t>
      </w:r>
      <w:r>
        <w:rPr>
          <w:lang w:val="en-US"/>
        </w:rPr>
        <w:t>;</w:t>
      </w:r>
      <w:r w:rsidRPr="00D63C27">
        <w:rPr>
          <w:lang w:val="en-US"/>
        </w:rPr>
        <w:t xml:space="preserve"> Roy</w:t>
      </w:r>
      <w:r>
        <w:rPr>
          <w:lang w:val="en-US"/>
        </w:rPr>
        <w:t>, J. W.;</w:t>
      </w:r>
      <w:r w:rsidRPr="00D63C27">
        <w:rPr>
          <w:lang w:val="en-US"/>
        </w:rPr>
        <w:t xml:space="preserve"> Brown,</w:t>
      </w:r>
      <w:r>
        <w:rPr>
          <w:lang w:val="en-US"/>
        </w:rPr>
        <w:t xml:space="preserve"> S. J.;</w:t>
      </w:r>
      <w:r w:rsidRPr="00D63C27">
        <w:rPr>
          <w:lang w:val="en-US"/>
        </w:rPr>
        <w:t xml:space="preserve"> Bickerton</w:t>
      </w:r>
      <w:r>
        <w:rPr>
          <w:lang w:val="en-US"/>
        </w:rPr>
        <w:t xml:space="preserve">, G. </w:t>
      </w:r>
      <w:r w:rsidRPr="00D63C27">
        <w:rPr>
          <w:lang w:val="en-US"/>
        </w:rPr>
        <w:t>Residues of the herbicide glyphosate in riparian groundwater in urban</w:t>
      </w:r>
      <w:r>
        <w:rPr>
          <w:lang w:val="en-US"/>
        </w:rPr>
        <w:t xml:space="preserve"> </w:t>
      </w:r>
      <w:r w:rsidRPr="00D63C27">
        <w:rPr>
          <w:lang w:val="en-US"/>
        </w:rPr>
        <w:t>catchments</w:t>
      </w:r>
      <w:r>
        <w:rPr>
          <w:lang w:val="en-US"/>
        </w:rPr>
        <w:t xml:space="preserve">. </w:t>
      </w:r>
      <w:r w:rsidRPr="00455615">
        <w:rPr>
          <w:b/>
          <w:lang w:val="en-US"/>
        </w:rPr>
        <w:t xml:space="preserve">Chemosphere, </w:t>
      </w:r>
      <w:r w:rsidRPr="00C91A76">
        <w:rPr>
          <w:lang w:val="en-US"/>
        </w:rPr>
        <w:t xml:space="preserve">v. </w:t>
      </w:r>
      <w:r w:rsidRPr="00455615">
        <w:rPr>
          <w:lang w:val="en-US"/>
        </w:rPr>
        <w:t>95</w:t>
      </w:r>
      <w:r>
        <w:rPr>
          <w:lang w:val="en-US"/>
        </w:rPr>
        <w:t xml:space="preserve">, p. </w:t>
      </w:r>
      <w:r w:rsidRPr="00455615">
        <w:rPr>
          <w:lang w:val="en-US"/>
        </w:rPr>
        <w:t>455–463</w:t>
      </w:r>
      <w:r>
        <w:rPr>
          <w:lang w:val="en-US"/>
        </w:rPr>
        <w:t>, 2014.</w:t>
      </w:r>
    </w:p>
    <w:p w14:paraId="20317145" w14:textId="77777777" w:rsidR="00D83456" w:rsidRPr="000575E0" w:rsidRDefault="00D83456" w:rsidP="002E5C01">
      <w:pPr>
        <w:spacing w:line="480" w:lineRule="auto"/>
        <w:jc w:val="both"/>
        <w:rPr>
          <w:lang w:val="en-US"/>
        </w:rPr>
      </w:pPr>
      <w:proofErr w:type="spellStart"/>
      <w:r w:rsidRPr="000575E0">
        <w:rPr>
          <w:lang w:val="en-US"/>
        </w:rPr>
        <w:t>Vörösmarty</w:t>
      </w:r>
      <w:proofErr w:type="spellEnd"/>
      <w:r w:rsidRPr="000575E0">
        <w:rPr>
          <w:lang w:val="en-US"/>
        </w:rPr>
        <w:t xml:space="preserve">, C. J.; </w:t>
      </w:r>
      <w:proofErr w:type="spellStart"/>
      <w:r w:rsidRPr="000575E0">
        <w:rPr>
          <w:lang w:val="en-US"/>
        </w:rPr>
        <w:t>Mcintyre</w:t>
      </w:r>
      <w:proofErr w:type="spellEnd"/>
      <w:r w:rsidRPr="000575E0">
        <w:rPr>
          <w:lang w:val="en-US"/>
        </w:rPr>
        <w:t xml:space="preserve">, P. B.; Gessner, M. O.; Dudgeon, D.; </w:t>
      </w:r>
      <w:proofErr w:type="spellStart"/>
      <w:r w:rsidRPr="000575E0">
        <w:rPr>
          <w:lang w:val="en-US"/>
        </w:rPr>
        <w:t>Prusevich</w:t>
      </w:r>
      <w:proofErr w:type="spellEnd"/>
      <w:r w:rsidRPr="000575E0">
        <w:rPr>
          <w:lang w:val="en-US"/>
        </w:rPr>
        <w:t xml:space="preserve">, A.; Green, P.; Glidden, S.; Bunn, S. E.; Sullivan, C. A.; </w:t>
      </w:r>
      <w:proofErr w:type="spellStart"/>
      <w:r w:rsidRPr="000575E0">
        <w:rPr>
          <w:lang w:val="en-US"/>
        </w:rPr>
        <w:t>Liermann</w:t>
      </w:r>
      <w:proofErr w:type="spellEnd"/>
      <w:r w:rsidRPr="000575E0">
        <w:rPr>
          <w:lang w:val="en-US"/>
        </w:rPr>
        <w:t xml:space="preserve">, C. R.; Davies, P. M. Global threats to human water security and river biodiversity. </w:t>
      </w:r>
      <w:r w:rsidRPr="000575E0">
        <w:rPr>
          <w:b/>
          <w:lang w:val="en-US"/>
        </w:rPr>
        <w:t>Nature</w:t>
      </w:r>
      <w:r w:rsidRPr="000575E0">
        <w:rPr>
          <w:lang w:val="en-US"/>
        </w:rPr>
        <w:t xml:space="preserve">, </w:t>
      </w:r>
      <w:r>
        <w:rPr>
          <w:lang w:val="en-US"/>
        </w:rPr>
        <w:t xml:space="preserve">v. </w:t>
      </w:r>
      <w:r w:rsidRPr="000575E0">
        <w:rPr>
          <w:lang w:val="en-US"/>
        </w:rPr>
        <w:t>467</w:t>
      </w:r>
      <w:r>
        <w:rPr>
          <w:lang w:val="en-US"/>
        </w:rPr>
        <w:t>,</w:t>
      </w:r>
      <w:r w:rsidRPr="000575E0">
        <w:rPr>
          <w:lang w:val="en-US"/>
        </w:rPr>
        <w:t xml:space="preserve"> p. 555-561</w:t>
      </w:r>
      <w:r>
        <w:rPr>
          <w:lang w:val="en-US"/>
        </w:rPr>
        <w:t>, 2010.</w:t>
      </w:r>
    </w:p>
    <w:p w14:paraId="23D31EF7" w14:textId="77777777" w:rsidR="00D83456" w:rsidRPr="000575E0" w:rsidRDefault="00D83456" w:rsidP="002E5C01">
      <w:pPr>
        <w:spacing w:line="480" w:lineRule="auto"/>
        <w:jc w:val="both"/>
        <w:rPr>
          <w:lang w:val="en-US"/>
        </w:rPr>
      </w:pPr>
      <w:r w:rsidRPr="000575E0">
        <w:rPr>
          <w:lang w:val="en-US"/>
        </w:rPr>
        <w:t>Wei, D.; Feng-</w:t>
      </w:r>
      <w:proofErr w:type="spellStart"/>
      <w:r w:rsidRPr="000575E0">
        <w:rPr>
          <w:lang w:val="en-US"/>
        </w:rPr>
        <w:t>ming</w:t>
      </w:r>
      <w:proofErr w:type="spellEnd"/>
      <w:r w:rsidRPr="000575E0">
        <w:rPr>
          <w:lang w:val="en-US"/>
        </w:rPr>
        <w:t xml:space="preserve">, M. A.; </w:t>
      </w:r>
      <w:proofErr w:type="spellStart"/>
      <w:r w:rsidRPr="000575E0">
        <w:rPr>
          <w:lang w:val="en-US"/>
        </w:rPr>
        <w:t>Zhuo</w:t>
      </w:r>
      <w:proofErr w:type="spellEnd"/>
      <w:r w:rsidRPr="000575E0">
        <w:rPr>
          <w:lang w:val="en-US"/>
        </w:rPr>
        <w:t xml:space="preserve">, C.; Bo, T. Effect of Chlorimuron-Ethyl on Biochemical Mechanism in Tolerant Sugar Beet. </w:t>
      </w:r>
      <w:r w:rsidRPr="000575E0">
        <w:rPr>
          <w:b/>
          <w:lang w:val="en-US"/>
        </w:rPr>
        <w:t>Agricultural Sciences in China</w:t>
      </w:r>
      <w:r w:rsidRPr="000575E0">
        <w:rPr>
          <w:lang w:val="en-US"/>
        </w:rPr>
        <w:t xml:space="preserve">, v. 9, n. 12, p. 1771-1776, 2010. </w:t>
      </w:r>
    </w:p>
    <w:p w14:paraId="7557AB5D" w14:textId="77777777" w:rsidR="00D83456" w:rsidRDefault="00D83456" w:rsidP="002E5C01">
      <w:pPr>
        <w:spacing w:line="480" w:lineRule="auto"/>
        <w:jc w:val="both"/>
      </w:pPr>
      <w:r w:rsidRPr="000575E0">
        <w:rPr>
          <w:lang w:val="en-US"/>
        </w:rPr>
        <w:t xml:space="preserve">Weller, S. Diquat, paraquat, </w:t>
      </w:r>
      <w:proofErr w:type="spellStart"/>
      <w:r w:rsidRPr="000575E0">
        <w:rPr>
          <w:lang w:val="en-US"/>
        </w:rPr>
        <w:t>diphenylethers</w:t>
      </w:r>
      <w:proofErr w:type="spellEnd"/>
      <w:r w:rsidRPr="000575E0">
        <w:rPr>
          <w:lang w:val="en-US"/>
        </w:rPr>
        <w:t xml:space="preserve"> and oxadiazon uses and mechanism- of action. </w:t>
      </w:r>
      <w:r w:rsidRPr="000575E0">
        <w:t xml:space="preserve">In: </w:t>
      </w:r>
      <w:proofErr w:type="spellStart"/>
      <w:r w:rsidRPr="000575E0">
        <w:rPr>
          <w:b/>
        </w:rPr>
        <w:t>Herbicide</w:t>
      </w:r>
      <w:proofErr w:type="spellEnd"/>
      <w:r w:rsidRPr="000575E0">
        <w:rPr>
          <w:b/>
        </w:rPr>
        <w:t xml:space="preserve"> </w:t>
      </w:r>
      <w:proofErr w:type="spellStart"/>
      <w:r w:rsidRPr="000575E0">
        <w:rPr>
          <w:b/>
        </w:rPr>
        <w:t>action</w:t>
      </w:r>
      <w:proofErr w:type="spellEnd"/>
      <w:r w:rsidRPr="000575E0">
        <w:rPr>
          <w:b/>
        </w:rPr>
        <w:t xml:space="preserve"> </w:t>
      </w:r>
      <w:proofErr w:type="spellStart"/>
      <w:r w:rsidRPr="000575E0">
        <w:rPr>
          <w:b/>
        </w:rPr>
        <w:t>course</w:t>
      </w:r>
      <w:proofErr w:type="spellEnd"/>
      <w:r w:rsidRPr="000575E0">
        <w:t xml:space="preserve">. West Lafayette: </w:t>
      </w:r>
      <w:proofErr w:type="spellStart"/>
      <w:r w:rsidRPr="000575E0">
        <w:t>Purdue</w:t>
      </w:r>
      <w:proofErr w:type="spellEnd"/>
      <w:r w:rsidRPr="000575E0">
        <w:t xml:space="preserve"> </w:t>
      </w:r>
      <w:proofErr w:type="spellStart"/>
      <w:r w:rsidRPr="000575E0">
        <w:t>University</w:t>
      </w:r>
      <w:proofErr w:type="spellEnd"/>
      <w:r w:rsidRPr="000575E0">
        <w:t>, 2003. p.185-224.</w:t>
      </w:r>
    </w:p>
    <w:p w14:paraId="3F56137C" w14:textId="77777777" w:rsidR="00D83456" w:rsidRDefault="00D83456" w:rsidP="00D83456">
      <w:pPr>
        <w:spacing w:after="240" w:line="480" w:lineRule="auto"/>
        <w:jc w:val="both"/>
      </w:pPr>
      <w:r w:rsidRPr="00C930EE">
        <w:rPr>
          <w:lang w:val="en-US"/>
        </w:rPr>
        <w:t>Zhang, C.; Liao, X.; Li, J.; Xu, L.; Liu, M.; Du, B.; Wang Y. Influence of long-term sewage</w:t>
      </w:r>
      <w:r>
        <w:rPr>
          <w:lang w:val="en-US"/>
        </w:rPr>
        <w:t xml:space="preserve"> irrigation on the distribution </w:t>
      </w:r>
      <w:r w:rsidRPr="00C930EE">
        <w:rPr>
          <w:lang w:val="en-US"/>
        </w:rPr>
        <w:t>of organochlorine pesticides in soil–groundwater systems</w:t>
      </w:r>
      <w:r>
        <w:rPr>
          <w:lang w:val="en-US"/>
        </w:rPr>
        <w:t xml:space="preserve">. </w:t>
      </w:r>
      <w:proofErr w:type="spellStart"/>
      <w:r w:rsidRPr="009719DA">
        <w:rPr>
          <w:b/>
        </w:rPr>
        <w:t>Chemosphere</w:t>
      </w:r>
      <w:proofErr w:type="spellEnd"/>
      <w:r w:rsidRPr="009719DA">
        <w:rPr>
          <w:b/>
        </w:rPr>
        <w:t>,</w:t>
      </w:r>
      <w:r w:rsidRPr="009719DA">
        <w:t xml:space="preserve"> v. 92, p. 337–343, 2013.</w:t>
      </w:r>
    </w:p>
    <w:p w14:paraId="40929FA7" w14:textId="536634C0" w:rsidR="00D83456" w:rsidRDefault="00D83456" w:rsidP="002E5C01">
      <w:pPr>
        <w:spacing w:line="480" w:lineRule="auto"/>
        <w:jc w:val="both"/>
        <w:sectPr w:rsidR="00D83456" w:rsidSect="00ED5EBD">
          <w:footerReference w:type="default" r:id="rId7"/>
          <w:pgSz w:w="11906" w:h="16838"/>
          <w:pgMar w:top="1418" w:right="1418" w:bottom="1418" w:left="1418" w:header="709" w:footer="709" w:gutter="0"/>
          <w:lnNumType w:countBy="1" w:restart="continuous"/>
          <w:cols w:space="708"/>
          <w:docGrid w:linePitch="360"/>
        </w:sectPr>
      </w:pPr>
    </w:p>
    <w:p w14:paraId="37B2CB06" w14:textId="77777777" w:rsidR="00ED5EBD" w:rsidRDefault="00ED5EBD" w:rsidP="00ED5EBD">
      <w:pPr>
        <w:spacing w:line="480" w:lineRule="auto"/>
        <w:jc w:val="center"/>
      </w:pPr>
      <w:r>
        <w:rPr>
          <w:noProof/>
          <w:lang w:eastAsia="pt-BR"/>
        </w:rPr>
        <w:lastRenderedPageBreak/>
        <mc:AlternateContent>
          <mc:Choice Requires="wps">
            <w:drawing>
              <wp:anchor distT="0" distB="0" distL="114300" distR="114300" simplePos="0" relativeHeight="251667456" behindDoc="0" locked="0" layoutInCell="1" allowOverlap="1" wp14:anchorId="21AC8350" wp14:editId="72365014">
                <wp:simplePos x="0" y="0"/>
                <wp:positionH relativeFrom="column">
                  <wp:posOffset>4112895</wp:posOffset>
                </wp:positionH>
                <wp:positionV relativeFrom="paragraph">
                  <wp:posOffset>161290</wp:posOffset>
                </wp:positionV>
                <wp:extent cx="288000" cy="288000"/>
                <wp:effectExtent l="0" t="0" r="17145" b="17145"/>
                <wp:wrapNone/>
                <wp:docPr id="1" name="Caixa de texto 1"/>
                <wp:cNvGraphicFramePr/>
                <a:graphic xmlns:a="http://schemas.openxmlformats.org/drawingml/2006/main">
                  <a:graphicData uri="http://schemas.microsoft.com/office/word/2010/wordprocessingShape">
                    <wps:wsp>
                      <wps:cNvSpPr txBox="1"/>
                      <wps:spPr>
                        <a:xfrm>
                          <a:off x="0" y="0"/>
                          <a:ext cx="288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C09DCE" w14:textId="77777777" w:rsidR="00313E25" w:rsidRPr="009D389B" w:rsidRDefault="00313E25" w:rsidP="00ED5EBD">
                            <w:pPr>
                              <w:jc w:val="center"/>
                            </w:pPr>
                            <w:r w:rsidRPr="009D389B">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AC8350" id="_x0000_t202" coordsize="21600,21600" o:spt="202" path="m,l,21600r21600,l21600,xe">
                <v:stroke joinstyle="miter"/>
                <v:path gradientshapeok="t" o:connecttype="rect"/>
              </v:shapetype>
              <v:shape id="Caixa de texto 1" o:spid="_x0000_s1026" type="#_x0000_t202" style="position:absolute;left:0;text-align:left;margin-left:323.85pt;margin-top:12.7pt;width:22.7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" fillcolor="white [3201]" strokeweight=".5pt">
                <v:textbox>
                  <w:txbxContent>
                    <w:p w14:paraId="5EC09DCE" w14:textId="77777777" w:rsidR="00313E25" w:rsidRPr="009D389B" w:rsidRDefault="00313E25" w:rsidP="00ED5EBD">
                      <w:pPr>
                        <w:jc w:val="center"/>
                      </w:pPr>
                      <w:r w:rsidRPr="009D389B">
                        <w:t>A</w:t>
                      </w:r>
                    </w:p>
                  </w:txbxContent>
                </v:textbox>
              </v:shape>
            </w:pict>
          </mc:Fallback>
        </mc:AlternateContent>
      </w:r>
      <w:r>
        <w:object w:dxaOrig="8445" w:dyaOrig="9000" w14:anchorId="0F7647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312pt" o:ole="">
            <v:imagedata r:id="rId8" o:title=""/>
          </v:shape>
          <o:OLEObject Type="Embed" ProgID="SigmaPlotGraphicObject.11" ShapeID="_x0000_i1025" DrawAspect="Content" ObjectID="_1609673130" r:id="rId9"/>
        </w:object>
      </w:r>
    </w:p>
    <w:p w14:paraId="612373B4" w14:textId="77777777" w:rsidR="00ED5EBD" w:rsidRDefault="00ED5EBD" w:rsidP="00ED5EBD">
      <w:pPr>
        <w:spacing w:line="480" w:lineRule="auto"/>
        <w:jc w:val="center"/>
      </w:pPr>
      <w:r>
        <w:rPr>
          <w:noProof/>
          <w:lang w:eastAsia="pt-BR"/>
        </w:rPr>
        <mc:AlternateContent>
          <mc:Choice Requires="wps">
            <w:drawing>
              <wp:anchor distT="0" distB="0" distL="114300" distR="114300" simplePos="0" relativeHeight="251668480" behindDoc="0" locked="0" layoutInCell="1" allowOverlap="1" wp14:anchorId="28AAFC10" wp14:editId="4294C1C3">
                <wp:simplePos x="0" y="0"/>
                <wp:positionH relativeFrom="column">
                  <wp:posOffset>4086860</wp:posOffset>
                </wp:positionH>
                <wp:positionV relativeFrom="paragraph">
                  <wp:posOffset>95250</wp:posOffset>
                </wp:positionV>
                <wp:extent cx="288000" cy="288000"/>
                <wp:effectExtent l="0" t="0" r="17145" b="17145"/>
                <wp:wrapNone/>
                <wp:docPr id="2" name="Caixa de texto 2"/>
                <wp:cNvGraphicFramePr/>
                <a:graphic xmlns:a="http://schemas.openxmlformats.org/drawingml/2006/main">
                  <a:graphicData uri="http://schemas.microsoft.com/office/word/2010/wordprocessingShape">
                    <wps:wsp>
                      <wps:cNvSpPr txBox="1"/>
                      <wps:spPr>
                        <a:xfrm>
                          <a:off x="0" y="0"/>
                          <a:ext cx="28800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72DDC7" w14:textId="77777777" w:rsidR="00313E25" w:rsidRPr="009D389B" w:rsidRDefault="00313E25" w:rsidP="00ED5EBD">
                            <w:pPr>
                              <w:jc w:val="center"/>
                            </w:pPr>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AFC10" id="Caixa de texto 2" o:spid="_x0000_s1027" type="#_x0000_t202" style="position:absolute;left:0;text-align:left;margin-left:321.8pt;margin-top:7.5pt;width:22.7pt;height:2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" fillcolor="white [3201]" strokeweight=".5pt">
                <v:textbox>
                  <w:txbxContent>
                    <w:p w14:paraId="1E72DDC7" w14:textId="77777777" w:rsidR="00313E25" w:rsidRPr="009D389B" w:rsidRDefault="00313E25" w:rsidP="00ED5EBD">
                      <w:pPr>
                        <w:jc w:val="center"/>
                      </w:pPr>
                      <w:r>
                        <w:t>B</w:t>
                      </w:r>
                    </w:p>
                  </w:txbxContent>
                </v:textbox>
              </v:shape>
            </w:pict>
          </mc:Fallback>
        </mc:AlternateContent>
      </w:r>
      <w:r>
        <w:object w:dxaOrig="8460" w:dyaOrig="9195" w14:anchorId="47994A35">
          <v:shape id="_x0000_i1026" type="#_x0000_t75" style="width:4in;height:312.75pt" o:ole="">
            <v:imagedata r:id="rId10" o:title=""/>
          </v:shape>
          <o:OLEObject Type="Embed" ProgID="SigmaPlotGraphicObject.11" ShapeID="_x0000_i1026" DrawAspect="Content" ObjectID="_1609673131" r:id="rId11"/>
        </w:object>
      </w:r>
    </w:p>
    <w:p w14:paraId="1C0DE29C" w14:textId="77777777" w:rsidR="00ED5EBD" w:rsidRPr="000F170E" w:rsidRDefault="00ED5EBD" w:rsidP="000F170E">
      <w:pPr>
        <w:spacing w:line="480" w:lineRule="auto"/>
        <w:jc w:val="both"/>
        <w:rPr>
          <w:sz w:val="20"/>
        </w:rPr>
        <w:sectPr w:rsidR="00ED5EBD" w:rsidRPr="000F170E" w:rsidSect="00ED5EBD">
          <w:footerReference w:type="default" r:id="rId12"/>
          <w:pgSz w:w="11906" w:h="16838"/>
          <w:pgMar w:top="1418" w:right="1418" w:bottom="1418" w:left="1418" w:header="709" w:footer="709" w:gutter="0"/>
          <w:lnNumType w:countBy="1" w:restart="continuous"/>
          <w:cols w:space="708"/>
          <w:docGrid w:linePitch="360"/>
        </w:sectPr>
      </w:pPr>
      <w:r w:rsidRPr="000F170E">
        <w:rPr>
          <w:sz w:val="20"/>
        </w:rPr>
        <w:lastRenderedPageBreak/>
        <w:t>Figura 1. Porcentagem de intoxicação (A) e de matéria seca relativa da parte aérea (B) de plantas de abóbora, beterraba, cenoura, melancia, pepino, sorgo e tomate, cultivadas em vaso após a aplicação de diferentes doses do saflufenacil em areia, avaliado aos 21 DAE.</w:t>
      </w:r>
    </w:p>
    <w:p w14:paraId="0D193991" w14:textId="77777777" w:rsidR="00ED5EBD" w:rsidRDefault="00ED5EBD" w:rsidP="00ED5EBD">
      <w:pPr>
        <w:spacing w:line="480" w:lineRule="auto"/>
        <w:jc w:val="center"/>
      </w:pPr>
      <w:r>
        <w:rPr>
          <w:noProof/>
          <w:lang w:eastAsia="pt-BR"/>
        </w:rPr>
        <w:lastRenderedPageBreak/>
        <mc:AlternateContent>
          <mc:Choice Requires="wps">
            <w:drawing>
              <wp:anchor distT="0" distB="0" distL="114300" distR="114300" simplePos="0" relativeHeight="251670528" behindDoc="0" locked="0" layoutInCell="1" allowOverlap="1" wp14:anchorId="1B388FB2" wp14:editId="63ED5336">
                <wp:simplePos x="0" y="0"/>
                <wp:positionH relativeFrom="column">
                  <wp:posOffset>4178300</wp:posOffset>
                </wp:positionH>
                <wp:positionV relativeFrom="paragraph">
                  <wp:posOffset>131709</wp:posOffset>
                </wp:positionV>
                <wp:extent cx="287655" cy="287655"/>
                <wp:effectExtent l="0" t="0" r="17145" b="17145"/>
                <wp:wrapNone/>
                <wp:docPr id="3" name="Caixa de texto 3"/>
                <wp:cNvGraphicFramePr/>
                <a:graphic xmlns:a="http://schemas.openxmlformats.org/drawingml/2006/main">
                  <a:graphicData uri="http://schemas.microsoft.com/office/word/2010/wordprocessingShape">
                    <wps:wsp>
                      <wps:cNvSpPr txBox="1"/>
                      <wps:spPr>
                        <a:xfrm>
                          <a:off x="0" y="0"/>
                          <a:ext cx="287655"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94EEC7" w14:textId="77777777" w:rsidR="00313E25" w:rsidRPr="009D389B" w:rsidRDefault="00313E25" w:rsidP="00ED5EBD">
                            <w:pPr>
                              <w:jc w:val="center"/>
                            </w:pPr>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88FB2" id="Caixa de texto 3" o:spid="_x0000_s1028" type="#_x0000_t202" style="position:absolute;left:0;text-align:left;margin-left:329pt;margin-top:10.35pt;width:22.65pt;height:2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" fillcolor="white [3201]" strokeweight=".5pt">
                <v:textbox>
                  <w:txbxContent>
                    <w:p w14:paraId="0894EEC7" w14:textId="77777777" w:rsidR="00313E25" w:rsidRPr="009D389B" w:rsidRDefault="00313E25" w:rsidP="00ED5EBD">
                      <w:pPr>
                        <w:jc w:val="center"/>
                      </w:pPr>
                      <w:r>
                        <w:t>A</w:t>
                      </w:r>
                    </w:p>
                  </w:txbxContent>
                </v:textbox>
              </v:shape>
            </w:pict>
          </mc:Fallback>
        </mc:AlternateContent>
      </w:r>
      <w:r>
        <w:object w:dxaOrig="8460" w:dyaOrig="8835" w14:anchorId="715F9D2A">
          <v:shape id="_x0000_i1027" type="#_x0000_t75" style="width:300pt;height:312pt" o:ole="">
            <v:imagedata r:id="rId13" o:title=""/>
          </v:shape>
          <o:OLEObject Type="Embed" ProgID="SigmaPlotGraphicObject.11" ShapeID="_x0000_i1027" DrawAspect="Content" ObjectID="_1609673132" r:id="rId14"/>
        </w:object>
      </w:r>
    </w:p>
    <w:p w14:paraId="1BC234D6" w14:textId="77777777" w:rsidR="00ED5EBD" w:rsidRDefault="00ED5EBD" w:rsidP="00ED5EBD">
      <w:pPr>
        <w:spacing w:line="480" w:lineRule="auto"/>
        <w:jc w:val="center"/>
      </w:pPr>
      <w:r>
        <w:rPr>
          <w:noProof/>
          <w:lang w:eastAsia="pt-BR"/>
        </w:rPr>
        <mc:AlternateContent>
          <mc:Choice Requires="wps">
            <w:drawing>
              <wp:anchor distT="0" distB="0" distL="114300" distR="114300" simplePos="0" relativeHeight="251671552" behindDoc="0" locked="0" layoutInCell="1" allowOverlap="1" wp14:anchorId="229E3D9F" wp14:editId="2BAED208">
                <wp:simplePos x="0" y="0"/>
                <wp:positionH relativeFrom="column">
                  <wp:posOffset>4184015</wp:posOffset>
                </wp:positionH>
                <wp:positionV relativeFrom="paragraph">
                  <wp:posOffset>139700</wp:posOffset>
                </wp:positionV>
                <wp:extent cx="287655" cy="287655"/>
                <wp:effectExtent l="0" t="0" r="17145" b="17145"/>
                <wp:wrapNone/>
                <wp:docPr id="4" name="Caixa de texto 4"/>
                <wp:cNvGraphicFramePr/>
                <a:graphic xmlns:a="http://schemas.openxmlformats.org/drawingml/2006/main">
                  <a:graphicData uri="http://schemas.microsoft.com/office/word/2010/wordprocessingShape">
                    <wps:wsp>
                      <wps:cNvSpPr txBox="1"/>
                      <wps:spPr>
                        <a:xfrm>
                          <a:off x="0" y="0"/>
                          <a:ext cx="287655"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99031C" w14:textId="77777777" w:rsidR="00313E25" w:rsidRPr="009D389B" w:rsidRDefault="00313E25" w:rsidP="00ED5EBD">
                            <w:pPr>
                              <w:jc w:val="center"/>
                            </w:pPr>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E3D9F" id="Caixa de texto 4" o:spid="_x0000_s1029" type="#_x0000_t202" style="position:absolute;left:0;text-align:left;margin-left:329.45pt;margin-top:11pt;width:22.65pt;height:2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" fillcolor="white [3201]" strokeweight=".5pt">
                <v:textbox>
                  <w:txbxContent>
                    <w:p w14:paraId="5499031C" w14:textId="77777777" w:rsidR="00313E25" w:rsidRPr="009D389B" w:rsidRDefault="00313E25" w:rsidP="00ED5EBD">
                      <w:pPr>
                        <w:jc w:val="center"/>
                      </w:pPr>
                      <w:r>
                        <w:t>B</w:t>
                      </w:r>
                    </w:p>
                  </w:txbxContent>
                </v:textbox>
              </v:shape>
            </w:pict>
          </mc:Fallback>
        </mc:AlternateContent>
      </w:r>
      <w:r>
        <w:object w:dxaOrig="8445" w:dyaOrig="8730" w14:anchorId="7C1D3C08">
          <v:shape id="_x0000_i1028" type="#_x0000_t75" style="width:302.25pt;height:312.75pt" o:ole="">
            <v:imagedata r:id="rId15" o:title=""/>
          </v:shape>
          <o:OLEObject Type="Embed" ProgID="SigmaPlotGraphicObject.11" ShapeID="_x0000_i1028" DrawAspect="Content" ObjectID="_1609673133" r:id="rId16"/>
        </w:object>
      </w:r>
    </w:p>
    <w:p w14:paraId="6919DE4B" w14:textId="77777777" w:rsidR="00ED5EBD" w:rsidRPr="000F170E" w:rsidRDefault="00ED5EBD" w:rsidP="000F170E">
      <w:pPr>
        <w:tabs>
          <w:tab w:val="left" w:pos="709"/>
        </w:tabs>
        <w:spacing w:line="480" w:lineRule="auto"/>
        <w:jc w:val="both"/>
        <w:rPr>
          <w:sz w:val="20"/>
        </w:rPr>
        <w:sectPr w:rsidR="00ED5EBD" w:rsidRPr="000F170E" w:rsidSect="00ED5EBD">
          <w:pgSz w:w="11906" w:h="16838"/>
          <w:pgMar w:top="1418" w:right="1418" w:bottom="1418" w:left="1418" w:header="709" w:footer="709" w:gutter="0"/>
          <w:lnNumType w:countBy="1" w:restart="continuous"/>
          <w:cols w:space="708"/>
          <w:docGrid w:linePitch="360"/>
        </w:sectPr>
      </w:pPr>
      <w:r w:rsidRPr="000F170E">
        <w:rPr>
          <w:sz w:val="20"/>
        </w:rPr>
        <w:lastRenderedPageBreak/>
        <w:t>Figura 2. Porcentagem de matéria seca relativa do sistema radicular (A) e de matéria seca relativa total (B) de plantas de abóbora, beterraba, cenoura, melancia, pepino, sorgo e tomate, cultivadas em vaso após a aplicação de diferentes doses do saflufenacil em areia, avaliado aos 21 DAE.</w:t>
      </w:r>
    </w:p>
    <w:p w14:paraId="1B797D60" w14:textId="77777777" w:rsidR="00ED5EBD" w:rsidRPr="00F81994" w:rsidRDefault="00ED5EBD" w:rsidP="00ED5EBD">
      <w:pPr>
        <w:spacing w:line="480" w:lineRule="auto"/>
        <w:jc w:val="both"/>
      </w:pPr>
      <w:r>
        <w:lastRenderedPageBreak/>
        <w:t>Tabela 1. Dose necessária em proporcionar 50% de resposta (</w:t>
      </w:r>
      <w:r w:rsidRPr="00CC0997">
        <w:t>C</w:t>
      </w:r>
      <w:r w:rsidRPr="00CC0997">
        <w:rPr>
          <w:vertAlign w:val="subscript"/>
        </w:rPr>
        <w:t>50</w:t>
      </w:r>
      <w:r w:rsidRPr="00CC0997">
        <w:t>)</w:t>
      </w:r>
      <w:r w:rsidRPr="00CC0997">
        <w:rPr>
          <w:vertAlign w:val="subscript"/>
        </w:rPr>
        <w:t xml:space="preserve"> </w:t>
      </w:r>
      <w:r>
        <w:t>para as variáveis intoxicação, matéria seca da parte aérea (MSPA), matéria seca do sistema radicular (MSSR) e matéria seca total (MST).</w:t>
      </w:r>
    </w:p>
    <w:tbl>
      <w:tblPr>
        <w:tblW w:w="5000" w:type="pct"/>
        <w:tblCellMar>
          <w:left w:w="70" w:type="dxa"/>
          <w:right w:w="70" w:type="dxa"/>
        </w:tblCellMar>
        <w:tblLook w:val="04A0" w:firstRow="1" w:lastRow="0" w:firstColumn="1" w:lastColumn="0" w:noHBand="0" w:noVBand="1"/>
      </w:tblPr>
      <w:tblGrid>
        <w:gridCol w:w="1903"/>
        <w:gridCol w:w="2721"/>
        <w:gridCol w:w="1618"/>
        <w:gridCol w:w="1587"/>
        <w:gridCol w:w="1241"/>
      </w:tblGrid>
      <w:tr w:rsidR="00ED5EBD" w:rsidRPr="00F81994" w14:paraId="27B7B329" w14:textId="77777777" w:rsidTr="00313E25">
        <w:trPr>
          <w:trHeight w:val="375"/>
        </w:trPr>
        <w:tc>
          <w:tcPr>
            <w:tcW w:w="1049" w:type="pct"/>
            <w:vMerge w:val="restart"/>
            <w:tcBorders>
              <w:top w:val="single" w:sz="4" w:space="0" w:color="auto"/>
              <w:left w:val="nil"/>
              <w:bottom w:val="single" w:sz="4" w:space="0" w:color="000000"/>
              <w:right w:val="nil"/>
            </w:tcBorders>
            <w:shd w:val="clear" w:color="auto" w:fill="auto"/>
            <w:noWrap/>
            <w:vAlign w:val="center"/>
            <w:hideMark/>
          </w:tcPr>
          <w:p w14:paraId="1ECB94DC" w14:textId="77777777" w:rsidR="00ED5EBD" w:rsidRPr="00F81994" w:rsidRDefault="00ED5EBD" w:rsidP="00313E25">
            <w:pPr>
              <w:spacing w:after="0" w:line="480" w:lineRule="auto"/>
              <w:rPr>
                <w:rFonts w:eastAsia="Times New Roman"/>
                <w:color w:val="000000"/>
                <w:szCs w:val="24"/>
                <w:lang w:eastAsia="pt-BR"/>
              </w:rPr>
            </w:pPr>
            <w:r w:rsidRPr="00F81994">
              <w:rPr>
                <w:rFonts w:eastAsia="Times New Roman"/>
                <w:color w:val="000000"/>
                <w:szCs w:val="24"/>
                <w:lang w:eastAsia="pt-BR"/>
              </w:rPr>
              <w:t>Espécies</w:t>
            </w:r>
          </w:p>
        </w:tc>
        <w:tc>
          <w:tcPr>
            <w:tcW w:w="3951" w:type="pct"/>
            <w:gridSpan w:val="4"/>
            <w:tcBorders>
              <w:top w:val="single" w:sz="4" w:space="0" w:color="auto"/>
              <w:left w:val="nil"/>
              <w:bottom w:val="nil"/>
              <w:right w:val="nil"/>
            </w:tcBorders>
            <w:shd w:val="clear" w:color="auto" w:fill="auto"/>
            <w:noWrap/>
            <w:vAlign w:val="center"/>
            <w:hideMark/>
          </w:tcPr>
          <w:p w14:paraId="031A6C41" w14:textId="77777777" w:rsidR="00ED5EBD" w:rsidRPr="00F81994" w:rsidRDefault="00ED5EBD" w:rsidP="00313E25">
            <w:pPr>
              <w:spacing w:after="0" w:line="480" w:lineRule="auto"/>
              <w:jc w:val="center"/>
              <w:rPr>
                <w:rFonts w:eastAsia="Times New Roman"/>
                <w:color w:val="000000"/>
                <w:szCs w:val="24"/>
                <w:lang w:eastAsia="pt-BR"/>
              </w:rPr>
            </w:pPr>
            <w:r w:rsidRPr="00F81994">
              <w:rPr>
                <w:rFonts w:eastAsia="Times New Roman"/>
                <w:color w:val="000000"/>
                <w:szCs w:val="24"/>
                <w:lang w:eastAsia="pt-BR"/>
              </w:rPr>
              <w:t>C</w:t>
            </w:r>
            <w:r w:rsidRPr="00F81994">
              <w:rPr>
                <w:rFonts w:eastAsia="Times New Roman"/>
                <w:color w:val="000000"/>
                <w:szCs w:val="24"/>
                <w:vertAlign w:val="subscript"/>
                <w:lang w:eastAsia="pt-BR"/>
              </w:rPr>
              <w:t>50</w:t>
            </w:r>
            <w:r w:rsidRPr="00F81994">
              <w:rPr>
                <w:rFonts w:eastAsia="Times New Roman"/>
                <w:color w:val="000000"/>
                <w:szCs w:val="24"/>
                <w:vertAlign w:val="superscript"/>
                <w:lang w:eastAsia="pt-BR"/>
              </w:rPr>
              <w:t>/1</w:t>
            </w:r>
          </w:p>
        </w:tc>
      </w:tr>
      <w:tr w:rsidR="00ED5EBD" w:rsidRPr="00F81994" w14:paraId="688A6DC5" w14:textId="77777777" w:rsidTr="00313E25">
        <w:trPr>
          <w:trHeight w:val="375"/>
        </w:trPr>
        <w:tc>
          <w:tcPr>
            <w:tcW w:w="1049" w:type="pct"/>
            <w:vMerge/>
            <w:tcBorders>
              <w:top w:val="single" w:sz="4" w:space="0" w:color="auto"/>
              <w:left w:val="nil"/>
              <w:bottom w:val="single" w:sz="4" w:space="0" w:color="000000"/>
              <w:right w:val="nil"/>
            </w:tcBorders>
            <w:vAlign w:val="center"/>
            <w:hideMark/>
          </w:tcPr>
          <w:p w14:paraId="4D60F28E" w14:textId="77777777" w:rsidR="00ED5EBD" w:rsidRPr="00F81994" w:rsidRDefault="00ED5EBD" w:rsidP="00313E25">
            <w:pPr>
              <w:spacing w:after="0" w:line="480" w:lineRule="auto"/>
              <w:rPr>
                <w:rFonts w:eastAsia="Times New Roman"/>
                <w:color w:val="000000"/>
                <w:szCs w:val="24"/>
                <w:lang w:eastAsia="pt-BR"/>
              </w:rPr>
            </w:pPr>
          </w:p>
        </w:tc>
        <w:tc>
          <w:tcPr>
            <w:tcW w:w="3951" w:type="pct"/>
            <w:gridSpan w:val="4"/>
            <w:tcBorders>
              <w:top w:val="nil"/>
              <w:left w:val="nil"/>
              <w:bottom w:val="single" w:sz="4" w:space="0" w:color="auto"/>
              <w:right w:val="nil"/>
            </w:tcBorders>
            <w:shd w:val="clear" w:color="auto" w:fill="auto"/>
            <w:noWrap/>
            <w:vAlign w:val="center"/>
            <w:hideMark/>
          </w:tcPr>
          <w:p w14:paraId="1B460715" w14:textId="77777777" w:rsidR="00ED5EBD" w:rsidRPr="00F81994" w:rsidRDefault="00ED5EBD" w:rsidP="00313E25">
            <w:pPr>
              <w:spacing w:after="0" w:line="480" w:lineRule="auto"/>
              <w:jc w:val="center"/>
              <w:rPr>
                <w:rFonts w:eastAsia="Times New Roman"/>
                <w:color w:val="000000"/>
                <w:szCs w:val="24"/>
                <w:lang w:eastAsia="pt-BR"/>
              </w:rPr>
            </w:pPr>
            <w:r w:rsidRPr="00F81994">
              <w:rPr>
                <w:rFonts w:eastAsia="Times New Roman"/>
                <w:color w:val="000000"/>
                <w:szCs w:val="24"/>
                <w:lang w:eastAsia="pt-BR"/>
              </w:rPr>
              <w:t>(g ha</w:t>
            </w:r>
            <w:r w:rsidRPr="00F81994">
              <w:rPr>
                <w:rFonts w:eastAsia="Times New Roman"/>
                <w:color w:val="000000"/>
                <w:szCs w:val="24"/>
                <w:vertAlign w:val="superscript"/>
                <w:lang w:eastAsia="pt-BR"/>
              </w:rPr>
              <w:t>-1</w:t>
            </w:r>
            <w:r w:rsidRPr="00F81994">
              <w:rPr>
                <w:rFonts w:eastAsia="Times New Roman"/>
                <w:color w:val="000000"/>
                <w:szCs w:val="24"/>
                <w:lang w:eastAsia="pt-BR"/>
              </w:rPr>
              <w:t>)</w:t>
            </w:r>
          </w:p>
        </w:tc>
      </w:tr>
      <w:tr w:rsidR="00ED5EBD" w:rsidRPr="00F81994" w14:paraId="5E2892CE" w14:textId="77777777" w:rsidTr="00313E25">
        <w:trPr>
          <w:trHeight w:val="315"/>
        </w:trPr>
        <w:tc>
          <w:tcPr>
            <w:tcW w:w="1049" w:type="pct"/>
            <w:vMerge/>
            <w:tcBorders>
              <w:top w:val="single" w:sz="4" w:space="0" w:color="auto"/>
              <w:left w:val="nil"/>
              <w:bottom w:val="single" w:sz="4" w:space="0" w:color="000000"/>
              <w:right w:val="nil"/>
            </w:tcBorders>
            <w:vAlign w:val="center"/>
            <w:hideMark/>
          </w:tcPr>
          <w:p w14:paraId="21A200CD" w14:textId="77777777" w:rsidR="00ED5EBD" w:rsidRPr="00F81994" w:rsidRDefault="00ED5EBD" w:rsidP="00313E25">
            <w:pPr>
              <w:spacing w:after="0" w:line="480" w:lineRule="auto"/>
              <w:rPr>
                <w:rFonts w:eastAsia="Times New Roman"/>
                <w:color w:val="000000"/>
                <w:szCs w:val="24"/>
                <w:lang w:eastAsia="pt-BR"/>
              </w:rPr>
            </w:pPr>
          </w:p>
        </w:tc>
        <w:tc>
          <w:tcPr>
            <w:tcW w:w="1500" w:type="pct"/>
            <w:tcBorders>
              <w:top w:val="nil"/>
              <w:left w:val="nil"/>
              <w:bottom w:val="single" w:sz="4" w:space="0" w:color="auto"/>
              <w:right w:val="nil"/>
            </w:tcBorders>
            <w:shd w:val="clear" w:color="auto" w:fill="auto"/>
            <w:noWrap/>
            <w:vAlign w:val="center"/>
            <w:hideMark/>
          </w:tcPr>
          <w:p w14:paraId="5F0570F8" w14:textId="77777777" w:rsidR="00ED5EBD" w:rsidRPr="00F81994" w:rsidRDefault="00ED5EBD" w:rsidP="00313E25">
            <w:pPr>
              <w:spacing w:after="0" w:line="480" w:lineRule="auto"/>
              <w:jc w:val="center"/>
              <w:rPr>
                <w:rFonts w:eastAsia="Times New Roman"/>
                <w:color w:val="000000"/>
                <w:szCs w:val="24"/>
                <w:lang w:eastAsia="pt-BR"/>
              </w:rPr>
            </w:pPr>
            <w:r w:rsidRPr="00F81994">
              <w:rPr>
                <w:rFonts w:eastAsia="Times New Roman"/>
                <w:color w:val="000000"/>
                <w:szCs w:val="24"/>
                <w:lang w:eastAsia="pt-BR"/>
              </w:rPr>
              <w:t>Intoxicação</w:t>
            </w:r>
          </w:p>
        </w:tc>
        <w:tc>
          <w:tcPr>
            <w:tcW w:w="892" w:type="pct"/>
            <w:tcBorders>
              <w:top w:val="nil"/>
              <w:left w:val="nil"/>
              <w:bottom w:val="single" w:sz="4" w:space="0" w:color="auto"/>
              <w:right w:val="nil"/>
            </w:tcBorders>
            <w:shd w:val="clear" w:color="auto" w:fill="auto"/>
            <w:noWrap/>
            <w:vAlign w:val="center"/>
            <w:hideMark/>
          </w:tcPr>
          <w:p w14:paraId="6ECBB248" w14:textId="77777777" w:rsidR="00ED5EBD" w:rsidRPr="00F81994" w:rsidRDefault="00ED5EBD" w:rsidP="00313E25">
            <w:pPr>
              <w:spacing w:after="0" w:line="480" w:lineRule="auto"/>
              <w:jc w:val="center"/>
              <w:rPr>
                <w:rFonts w:eastAsia="Times New Roman"/>
                <w:color w:val="000000"/>
                <w:szCs w:val="24"/>
                <w:lang w:eastAsia="pt-BR"/>
              </w:rPr>
            </w:pPr>
            <w:r w:rsidRPr="00F81994">
              <w:rPr>
                <w:rFonts w:eastAsia="Times New Roman"/>
                <w:color w:val="000000"/>
                <w:szCs w:val="24"/>
                <w:lang w:eastAsia="pt-BR"/>
              </w:rPr>
              <w:t>MSPA</w:t>
            </w:r>
          </w:p>
        </w:tc>
        <w:tc>
          <w:tcPr>
            <w:tcW w:w="875" w:type="pct"/>
            <w:tcBorders>
              <w:top w:val="nil"/>
              <w:left w:val="nil"/>
              <w:bottom w:val="single" w:sz="4" w:space="0" w:color="auto"/>
              <w:right w:val="nil"/>
            </w:tcBorders>
            <w:shd w:val="clear" w:color="auto" w:fill="auto"/>
            <w:noWrap/>
            <w:vAlign w:val="center"/>
            <w:hideMark/>
          </w:tcPr>
          <w:p w14:paraId="17836C58" w14:textId="77777777" w:rsidR="00ED5EBD" w:rsidRPr="00F81994" w:rsidRDefault="00ED5EBD" w:rsidP="00313E25">
            <w:pPr>
              <w:spacing w:after="0" w:line="480" w:lineRule="auto"/>
              <w:jc w:val="center"/>
              <w:rPr>
                <w:rFonts w:eastAsia="Times New Roman"/>
                <w:color w:val="000000"/>
                <w:szCs w:val="24"/>
                <w:lang w:eastAsia="pt-BR"/>
              </w:rPr>
            </w:pPr>
            <w:r w:rsidRPr="00F81994">
              <w:rPr>
                <w:rFonts w:eastAsia="Times New Roman"/>
                <w:color w:val="000000"/>
                <w:szCs w:val="24"/>
                <w:lang w:eastAsia="pt-BR"/>
              </w:rPr>
              <w:t>MSSR</w:t>
            </w:r>
          </w:p>
        </w:tc>
        <w:tc>
          <w:tcPr>
            <w:tcW w:w="684" w:type="pct"/>
            <w:tcBorders>
              <w:top w:val="nil"/>
              <w:left w:val="nil"/>
              <w:bottom w:val="single" w:sz="4" w:space="0" w:color="auto"/>
              <w:right w:val="nil"/>
            </w:tcBorders>
            <w:shd w:val="clear" w:color="auto" w:fill="auto"/>
            <w:noWrap/>
            <w:vAlign w:val="center"/>
            <w:hideMark/>
          </w:tcPr>
          <w:p w14:paraId="27E02CEF" w14:textId="77777777" w:rsidR="00ED5EBD" w:rsidRPr="00F81994" w:rsidRDefault="00ED5EBD" w:rsidP="00313E25">
            <w:pPr>
              <w:spacing w:after="0" w:line="480" w:lineRule="auto"/>
              <w:jc w:val="center"/>
              <w:rPr>
                <w:rFonts w:eastAsia="Times New Roman"/>
                <w:color w:val="000000"/>
                <w:szCs w:val="24"/>
                <w:lang w:eastAsia="pt-BR"/>
              </w:rPr>
            </w:pPr>
            <w:r w:rsidRPr="00F81994">
              <w:rPr>
                <w:rFonts w:eastAsia="Times New Roman"/>
                <w:color w:val="000000"/>
                <w:szCs w:val="24"/>
                <w:lang w:eastAsia="pt-BR"/>
              </w:rPr>
              <w:t>MST</w:t>
            </w:r>
          </w:p>
        </w:tc>
      </w:tr>
      <w:tr w:rsidR="00ED5EBD" w:rsidRPr="00F81994" w14:paraId="0B0C85EB" w14:textId="77777777" w:rsidTr="00313E25">
        <w:trPr>
          <w:trHeight w:val="315"/>
        </w:trPr>
        <w:tc>
          <w:tcPr>
            <w:tcW w:w="1049" w:type="pct"/>
            <w:tcBorders>
              <w:top w:val="nil"/>
              <w:left w:val="nil"/>
              <w:bottom w:val="nil"/>
              <w:right w:val="nil"/>
            </w:tcBorders>
            <w:shd w:val="clear" w:color="auto" w:fill="auto"/>
            <w:noWrap/>
            <w:vAlign w:val="center"/>
            <w:hideMark/>
          </w:tcPr>
          <w:p w14:paraId="5594DBB3" w14:textId="77777777" w:rsidR="00ED5EBD" w:rsidRPr="00F81994" w:rsidRDefault="00ED5EBD" w:rsidP="00313E25">
            <w:pPr>
              <w:spacing w:after="0" w:line="480" w:lineRule="auto"/>
              <w:rPr>
                <w:rFonts w:eastAsia="Times New Roman"/>
                <w:color w:val="000000"/>
                <w:szCs w:val="24"/>
                <w:lang w:eastAsia="pt-BR"/>
              </w:rPr>
            </w:pPr>
            <w:r w:rsidRPr="00F81994">
              <w:rPr>
                <w:rFonts w:eastAsia="Times New Roman"/>
                <w:color w:val="000000"/>
                <w:szCs w:val="24"/>
                <w:lang w:eastAsia="pt-BR"/>
              </w:rPr>
              <w:t>Beterraba</w:t>
            </w:r>
          </w:p>
        </w:tc>
        <w:tc>
          <w:tcPr>
            <w:tcW w:w="1500" w:type="pct"/>
            <w:tcBorders>
              <w:top w:val="nil"/>
              <w:left w:val="nil"/>
              <w:bottom w:val="nil"/>
              <w:right w:val="nil"/>
            </w:tcBorders>
            <w:shd w:val="clear" w:color="auto" w:fill="auto"/>
            <w:noWrap/>
            <w:vAlign w:val="center"/>
            <w:hideMark/>
          </w:tcPr>
          <w:p w14:paraId="4ABD4D53" w14:textId="77777777" w:rsidR="00ED5EBD" w:rsidRPr="00F81994" w:rsidRDefault="00ED5EBD" w:rsidP="00313E25">
            <w:pPr>
              <w:spacing w:after="0" w:line="480" w:lineRule="auto"/>
              <w:jc w:val="center"/>
              <w:rPr>
                <w:rFonts w:eastAsia="Times New Roman"/>
                <w:color w:val="000000"/>
                <w:szCs w:val="24"/>
                <w:lang w:eastAsia="pt-BR"/>
              </w:rPr>
            </w:pPr>
            <w:r w:rsidRPr="00F81994">
              <w:rPr>
                <w:rFonts w:eastAsia="Times New Roman"/>
                <w:color w:val="000000"/>
                <w:szCs w:val="24"/>
                <w:lang w:eastAsia="pt-BR"/>
              </w:rPr>
              <w:t>2,1</w:t>
            </w:r>
          </w:p>
        </w:tc>
        <w:tc>
          <w:tcPr>
            <w:tcW w:w="892" w:type="pct"/>
            <w:tcBorders>
              <w:top w:val="nil"/>
              <w:left w:val="nil"/>
              <w:bottom w:val="nil"/>
              <w:right w:val="nil"/>
            </w:tcBorders>
            <w:shd w:val="clear" w:color="auto" w:fill="auto"/>
            <w:noWrap/>
            <w:vAlign w:val="center"/>
            <w:hideMark/>
          </w:tcPr>
          <w:p w14:paraId="5B4C4730" w14:textId="77777777" w:rsidR="00ED5EBD" w:rsidRPr="00F81994" w:rsidRDefault="00ED5EBD" w:rsidP="00313E25">
            <w:pPr>
              <w:spacing w:after="0" w:line="480" w:lineRule="auto"/>
              <w:jc w:val="center"/>
              <w:rPr>
                <w:rFonts w:eastAsia="Times New Roman"/>
                <w:color w:val="000000"/>
                <w:szCs w:val="24"/>
                <w:lang w:eastAsia="pt-BR"/>
              </w:rPr>
            </w:pPr>
            <w:r w:rsidRPr="00F81994">
              <w:rPr>
                <w:rFonts w:eastAsia="Times New Roman"/>
                <w:color w:val="000000"/>
                <w:szCs w:val="24"/>
                <w:lang w:eastAsia="pt-BR"/>
              </w:rPr>
              <w:t>1,1</w:t>
            </w:r>
          </w:p>
        </w:tc>
        <w:tc>
          <w:tcPr>
            <w:tcW w:w="875" w:type="pct"/>
            <w:tcBorders>
              <w:top w:val="nil"/>
              <w:left w:val="nil"/>
              <w:bottom w:val="nil"/>
              <w:right w:val="nil"/>
            </w:tcBorders>
            <w:shd w:val="clear" w:color="auto" w:fill="auto"/>
            <w:noWrap/>
            <w:vAlign w:val="center"/>
            <w:hideMark/>
          </w:tcPr>
          <w:p w14:paraId="1853D4B5" w14:textId="77777777" w:rsidR="00ED5EBD" w:rsidRPr="00F81994" w:rsidRDefault="00ED5EBD" w:rsidP="00313E25">
            <w:pPr>
              <w:spacing w:after="0" w:line="480" w:lineRule="auto"/>
              <w:jc w:val="center"/>
              <w:rPr>
                <w:rFonts w:eastAsia="Times New Roman"/>
                <w:color w:val="000000"/>
                <w:szCs w:val="24"/>
                <w:lang w:eastAsia="pt-BR"/>
              </w:rPr>
            </w:pPr>
            <w:r w:rsidRPr="00F81994">
              <w:rPr>
                <w:rFonts w:eastAsia="Times New Roman"/>
                <w:color w:val="000000"/>
                <w:szCs w:val="24"/>
                <w:lang w:eastAsia="pt-BR"/>
              </w:rPr>
              <w:t>1,2</w:t>
            </w:r>
          </w:p>
        </w:tc>
        <w:tc>
          <w:tcPr>
            <w:tcW w:w="684" w:type="pct"/>
            <w:tcBorders>
              <w:top w:val="nil"/>
              <w:left w:val="nil"/>
              <w:bottom w:val="nil"/>
              <w:right w:val="nil"/>
            </w:tcBorders>
            <w:shd w:val="clear" w:color="auto" w:fill="auto"/>
            <w:noWrap/>
            <w:vAlign w:val="center"/>
            <w:hideMark/>
          </w:tcPr>
          <w:p w14:paraId="6313D62E" w14:textId="77777777" w:rsidR="00ED5EBD" w:rsidRPr="00F81994" w:rsidRDefault="00ED5EBD" w:rsidP="00313E25">
            <w:pPr>
              <w:spacing w:after="0" w:line="480" w:lineRule="auto"/>
              <w:jc w:val="center"/>
              <w:rPr>
                <w:rFonts w:eastAsia="Times New Roman"/>
                <w:color w:val="000000"/>
                <w:szCs w:val="24"/>
                <w:lang w:eastAsia="pt-BR"/>
              </w:rPr>
            </w:pPr>
            <w:r w:rsidRPr="00F81994">
              <w:rPr>
                <w:rFonts w:eastAsia="Times New Roman"/>
                <w:color w:val="000000"/>
                <w:szCs w:val="24"/>
                <w:lang w:eastAsia="pt-BR"/>
              </w:rPr>
              <w:t>1,3</w:t>
            </w:r>
          </w:p>
        </w:tc>
      </w:tr>
      <w:tr w:rsidR="00ED5EBD" w:rsidRPr="00F81994" w14:paraId="163935CE" w14:textId="77777777" w:rsidTr="00313E25">
        <w:trPr>
          <w:trHeight w:val="315"/>
        </w:trPr>
        <w:tc>
          <w:tcPr>
            <w:tcW w:w="1049" w:type="pct"/>
            <w:tcBorders>
              <w:top w:val="nil"/>
              <w:left w:val="nil"/>
              <w:bottom w:val="nil"/>
              <w:right w:val="nil"/>
            </w:tcBorders>
            <w:shd w:val="clear" w:color="auto" w:fill="auto"/>
            <w:noWrap/>
            <w:vAlign w:val="center"/>
            <w:hideMark/>
          </w:tcPr>
          <w:p w14:paraId="7A7A4EBA" w14:textId="77777777" w:rsidR="00ED5EBD" w:rsidRPr="00F81994" w:rsidRDefault="00ED5EBD" w:rsidP="00313E25">
            <w:pPr>
              <w:spacing w:after="0" w:line="480" w:lineRule="auto"/>
              <w:rPr>
                <w:rFonts w:eastAsia="Times New Roman"/>
                <w:color w:val="000000"/>
                <w:szCs w:val="24"/>
                <w:lang w:eastAsia="pt-BR"/>
              </w:rPr>
            </w:pPr>
            <w:r w:rsidRPr="00F81994">
              <w:rPr>
                <w:rFonts w:eastAsia="Times New Roman"/>
                <w:color w:val="000000"/>
                <w:szCs w:val="24"/>
                <w:lang w:eastAsia="pt-BR"/>
              </w:rPr>
              <w:t>Pepino</w:t>
            </w:r>
          </w:p>
        </w:tc>
        <w:tc>
          <w:tcPr>
            <w:tcW w:w="1500" w:type="pct"/>
            <w:tcBorders>
              <w:top w:val="nil"/>
              <w:left w:val="nil"/>
              <w:bottom w:val="nil"/>
              <w:right w:val="nil"/>
            </w:tcBorders>
            <w:shd w:val="clear" w:color="auto" w:fill="auto"/>
            <w:noWrap/>
            <w:vAlign w:val="center"/>
            <w:hideMark/>
          </w:tcPr>
          <w:p w14:paraId="412B24EA" w14:textId="77777777" w:rsidR="00ED5EBD" w:rsidRPr="00F81994" w:rsidRDefault="00ED5EBD" w:rsidP="00313E25">
            <w:pPr>
              <w:spacing w:after="0" w:line="480" w:lineRule="auto"/>
              <w:jc w:val="center"/>
              <w:rPr>
                <w:rFonts w:eastAsia="Times New Roman"/>
                <w:color w:val="000000"/>
                <w:szCs w:val="24"/>
                <w:lang w:eastAsia="pt-BR"/>
              </w:rPr>
            </w:pPr>
            <w:r w:rsidRPr="00F81994">
              <w:rPr>
                <w:rFonts w:eastAsia="Times New Roman"/>
                <w:color w:val="000000"/>
                <w:szCs w:val="24"/>
                <w:lang w:eastAsia="pt-BR"/>
              </w:rPr>
              <w:t>1,4</w:t>
            </w:r>
          </w:p>
        </w:tc>
        <w:tc>
          <w:tcPr>
            <w:tcW w:w="892" w:type="pct"/>
            <w:tcBorders>
              <w:top w:val="nil"/>
              <w:left w:val="nil"/>
              <w:bottom w:val="nil"/>
              <w:right w:val="nil"/>
            </w:tcBorders>
            <w:shd w:val="clear" w:color="auto" w:fill="auto"/>
            <w:noWrap/>
            <w:vAlign w:val="center"/>
            <w:hideMark/>
          </w:tcPr>
          <w:p w14:paraId="2F33FBDA" w14:textId="77777777" w:rsidR="00ED5EBD" w:rsidRPr="00F81994" w:rsidRDefault="00ED5EBD" w:rsidP="00313E25">
            <w:pPr>
              <w:spacing w:after="0" w:line="480" w:lineRule="auto"/>
              <w:jc w:val="center"/>
              <w:rPr>
                <w:rFonts w:eastAsia="Times New Roman"/>
                <w:color w:val="000000"/>
                <w:szCs w:val="24"/>
                <w:lang w:eastAsia="pt-BR"/>
              </w:rPr>
            </w:pPr>
            <w:r w:rsidRPr="00F81994">
              <w:rPr>
                <w:rFonts w:eastAsia="Times New Roman"/>
                <w:color w:val="000000"/>
                <w:szCs w:val="24"/>
                <w:lang w:eastAsia="pt-BR"/>
              </w:rPr>
              <w:t>ND</w:t>
            </w:r>
            <w:r w:rsidRPr="00F81994">
              <w:rPr>
                <w:rFonts w:eastAsia="Times New Roman"/>
                <w:color w:val="000000"/>
                <w:szCs w:val="24"/>
                <w:vertAlign w:val="superscript"/>
                <w:lang w:eastAsia="pt-BR"/>
              </w:rPr>
              <w:t>/2</w:t>
            </w:r>
          </w:p>
        </w:tc>
        <w:tc>
          <w:tcPr>
            <w:tcW w:w="875" w:type="pct"/>
            <w:tcBorders>
              <w:top w:val="nil"/>
              <w:left w:val="nil"/>
              <w:bottom w:val="nil"/>
              <w:right w:val="nil"/>
            </w:tcBorders>
            <w:shd w:val="clear" w:color="auto" w:fill="auto"/>
            <w:noWrap/>
            <w:vAlign w:val="center"/>
            <w:hideMark/>
          </w:tcPr>
          <w:p w14:paraId="7851A1AC" w14:textId="77777777" w:rsidR="00ED5EBD" w:rsidRPr="00F81994" w:rsidRDefault="00ED5EBD" w:rsidP="00313E25">
            <w:pPr>
              <w:spacing w:after="0" w:line="480" w:lineRule="auto"/>
              <w:jc w:val="center"/>
              <w:rPr>
                <w:rFonts w:eastAsia="Times New Roman"/>
                <w:color w:val="000000"/>
                <w:szCs w:val="24"/>
                <w:lang w:eastAsia="pt-BR"/>
              </w:rPr>
            </w:pPr>
            <w:r w:rsidRPr="00F81994">
              <w:rPr>
                <w:rFonts w:eastAsia="Times New Roman"/>
                <w:color w:val="000000"/>
                <w:szCs w:val="24"/>
                <w:lang w:eastAsia="pt-BR"/>
              </w:rPr>
              <w:t>9,7</w:t>
            </w:r>
          </w:p>
        </w:tc>
        <w:tc>
          <w:tcPr>
            <w:tcW w:w="684" w:type="pct"/>
            <w:tcBorders>
              <w:top w:val="nil"/>
              <w:left w:val="nil"/>
              <w:bottom w:val="nil"/>
              <w:right w:val="nil"/>
            </w:tcBorders>
            <w:shd w:val="clear" w:color="auto" w:fill="auto"/>
            <w:noWrap/>
            <w:vAlign w:val="center"/>
            <w:hideMark/>
          </w:tcPr>
          <w:p w14:paraId="6EB44EA0" w14:textId="77777777" w:rsidR="00ED5EBD" w:rsidRPr="00F81994" w:rsidRDefault="00ED5EBD" w:rsidP="00313E25">
            <w:pPr>
              <w:spacing w:after="0" w:line="480" w:lineRule="auto"/>
              <w:jc w:val="center"/>
              <w:rPr>
                <w:rFonts w:eastAsia="Times New Roman"/>
                <w:color w:val="000000"/>
                <w:szCs w:val="24"/>
                <w:lang w:eastAsia="pt-BR"/>
              </w:rPr>
            </w:pPr>
            <w:r w:rsidRPr="00F81994">
              <w:rPr>
                <w:rFonts w:eastAsia="Times New Roman"/>
                <w:color w:val="000000"/>
                <w:szCs w:val="24"/>
                <w:lang w:eastAsia="pt-BR"/>
              </w:rPr>
              <w:t>ND</w:t>
            </w:r>
            <w:r w:rsidRPr="00F81994">
              <w:rPr>
                <w:rFonts w:eastAsia="Times New Roman"/>
                <w:color w:val="000000"/>
                <w:szCs w:val="24"/>
                <w:vertAlign w:val="superscript"/>
                <w:lang w:eastAsia="pt-BR"/>
              </w:rPr>
              <w:t>/2</w:t>
            </w:r>
          </w:p>
        </w:tc>
      </w:tr>
      <w:tr w:rsidR="00ED5EBD" w:rsidRPr="00F81994" w14:paraId="2A08ACAE" w14:textId="77777777" w:rsidTr="00313E25">
        <w:trPr>
          <w:trHeight w:val="315"/>
        </w:trPr>
        <w:tc>
          <w:tcPr>
            <w:tcW w:w="1049" w:type="pct"/>
            <w:tcBorders>
              <w:top w:val="nil"/>
              <w:left w:val="nil"/>
              <w:bottom w:val="nil"/>
              <w:right w:val="nil"/>
            </w:tcBorders>
            <w:shd w:val="clear" w:color="auto" w:fill="auto"/>
            <w:noWrap/>
            <w:vAlign w:val="center"/>
            <w:hideMark/>
          </w:tcPr>
          <w:p w14:paraId="2BD1E60C" w14:textId="77777777" w:rsidR="00ED5EBD" w:rsidRPr="00F81994" w:rsidRDefault="00ED5EBD" w:rsidP="00313E25">
            <w:pPr>
              <w:spacing w:after="0" w:line="480" w:lineRule="auto"/>
              <w:rPr>
                <w:rFonts w:eastAsia="Times New Roman"/>
                <w:color w:val="000000"/>
                <w:szCs w:val="24"/>
                <w:lang w:eastAsia="pt-BR"/>
              </w:rPr>
            </w:pPr>
            <w:r w:rsidRPr="00F81994">
              <w:rPr>
                <w:rFonts w:eastAsia="Times New Roman"/>
                <w:color w:val="000000"/>
                <w:szCs w:val="24"/>
                <w:lang w:eastAsia="pt-BR"/>
              </w:rPr>
              <w:t>Sorgo</w:t>
            </w:r>
          </w:p>
        </w:tc>
        <w:tc>
          <w:tcPr>
            <w:tcW w:w="1500" w:type="pct"/>
            <w:tcBorders>
              <w:top w:val="nil"/>
              <w:left w:val="nil"/>
              <w:bottom w:val="nil"/>
              <w:right w:val="nil"/>
            </w:tcBorders>
            <w:shd w:val="clear" w:color="auto" w:fill="auto"/>
            <w:noWrap/>
            <w:vAlign w:val="center"/>
            <w:hideMark/>
          </w:tcPr>
          <w:p w14:paraId="2E731567" w14:textId="77777777" w:rsidR="00ED5EBD" w:rsidRPr="00F81994" w:rsidRDefault="00ED5EBD" w:rsidP="00313E25">
            <w:pPr>
              <w:spacing w:after="0" w:line="480" w:lineRule="auto"/>
              <w:jc w:val="center"/>
              <w:rPr>
                <w:rFonts w:eastAsia="Times New Roman"/>
                <w:color w:val="000000"/>
                <w:szCs w:val="24"/>
                <w:lang w:eastAsia="pt-BR"/>
              </w:rPr>
            </w:pPr>
            <w:r w:rsidRPr="00F81994">
              <w:rPr>
                <w:rFonts w:eastAsia="Times New Roman"/>
                <w:color w:val="000000"/>
                <w:szCs w:val="24"/>
                <w:lang w:eastAsia="pt-BR"/>
              </w:rPr>
              <w:t>4,8</w:t>
            </w:r>
          </w:p>
        </w:tc>
        <w:tc>
          <w:tcPr>
            <w:tcW w:w="892" w:type="pct"/>
            <w:tcBorders>
              <w:top w:val="nil"/>
              <w:left w:val="nil"/>
              <w:bottom w:val="nil"/>
              <w:right w:val="nil"/>
            </w:tcBorders>
            <w:shd w:val="clear" w:color="auto" w:fill="auto"/>
            <w:noWrap/>
            <w:vAlign w:val="center"/>
            <w:hideMark/>
          </w:tcPr>
          <w:p w14:paraId="1008EF5B" w14:textId="77777777" w:rsidR="00ED5EBD" w:rsidRPr="00F81994" w:rsidRDefault="00ED5EBD" w:rsidP="00313E25">
            <w:pPr>
              <w:spacing w:after="0" w:line="480" w:lineRule="auto"/>
              <w:jc w:val="center"/>
              <w:rPr>
                <w:rFonts w:eastAsia="Times New Roman"/>
                <w:color w:val="000000"/>
                <w:szCs w:val="24"/>
                <w:lang w:eastAsia="pt-BR"/>
              </w:rPr>
            </w:pPr>
            <w:r w:rsidRPr="00F81994">
              <w:rPr>
                <w:rFonts w:eastAsia="Times New Roman"/>
                <w:color w:val="000000"/>
                <w:szCs w:val="24"/>
                <w:lang w:eastAsia="pt-BR"/>
              </w:rPr>
              <w:t>6,2</w:t>
            </w:r>
          </w:p>
        </w:tc>
        <w:tc>
          <w:tcPr>
            <w:tcW w:w="875" w:type="pct"/>
            <w:tcBorders>
              <w:top w:val="nil"/>
              <w:left w:val="nil"/>
              <w:bottom w:val="nil"/>
              <w:right w:val="nil"/>
            </w:tcBorders>
            <w:shd w:val="clear" w:color="auto" w:fill="auto"/>
            <w:noWrap/>
            <w:vAlign w:val="center"/>
            <w:hideMark/>
          </w:tcPr>
          <w:p w14:paraId="41D32EDB" w14:textId="77777777" w:rsidR="00ED5EBD" w:rsidRPr="00F81994" w:rsidRDefault="00ED5EBD" w:rsidP="00313E25">
            <w:pPr>
              <w:spacing w:after="0" w:line="480" w:lineRule="auto"/>
              <w:jc w:val="center"/>
              <w:rPr>
                <w:rFonts w:eastAsia="Times New Roman"/>
                <w:color w:val="000000"/>
                <w:szCs w:val="24"/>
                <w:lang w:eastAsia="pt-BR"/>
              </w:rPr>
            </w:pPr>
            <w:r w:rsidRPr="00F81994">
              <w:rPr>
                <w:rFonts w:eastAsia="Times New Roman"/>
                <w:color w:val="000000"/>
                <w:szCs w:val="24"/>
                <w:lang w:eastAsia="pt-BR"/>
              </w:rPr>
              <w:t>6,5</w:t>
            </w:r>
          </w:p>
        </w:tc>
        <w:tc>
          <w:tcPr>
            <w:tcW w:w="684" w:type="pct"/>
            <w:tcBorders>
              <w:top w:val="nil"/>
              <w:left w:val="nil"/>
              <w:bottom w:val="nil"/>
              <w:right w:val="nil"/>
            </w:tcBorders>
            <w:shd w:val="clear" w:color="auto" w:fill="auto"/>
            <w:noWrap/>
            <w:vAlign w:val="center"/>
            <w:hideMark/>
          </w:tcPr>
          <w:p w14:paraId="5DB95542" w14:textId="77777777" w:rsidR="00ED5EBD" w:rsidRPr="00F81994" w:rsidRDefault="00ED5EBD" w:rsidP="00313E25">
            <w:pPr>
              <w:spacing w:after="0" w:line="480" w:lineRule="auto"/>
              <w:jc w:val="center"/>
              <w:rPr>
                <w:rFonts w:eastAsia="Times New Roman"/>
                <w:color w:val="000000"/>
                <w:szCs w:val="24"/>
                <w:lang w:eastAsia="pt-BR"/>
              </w:rPr>
            </w:pPr>
            <w:r w:rsidRPr="00F81994">
              <w:rPr>
                <w:rFonts w:eastAsia="Times New Roman"/>
                <w:color w:val="000000"/>
                <w:szCs w:val="24"/>
                <w:lang w:eastAsia="pt-BR"/>
              </w:rPr>
              <w:t>6,5</w:t>
            </w:r>
          </w:p>
        </w:tc>
      </w:tr>
      <w:tr w:rsidR="00ED5EBD" w:rsidRPr="00F81994" w14:paraId="369180FE" w14:textId="77777777" w:rsidTr="00313E25">
        <w:trPr>
          <w:trHeight w:val="315"/>
        </w:trPr>
        <w:tc>
          <w:tcPr>
            <w:tcW w:w="1049" w:type="pct"/>
            <w:tcBorders>
              <w:top w:val="nil"/>
              <w:left w:val="nil"/>
              <w:bottom w:val="single" w:sz="4" w:space="0" w:color="auto"/>
              <w:right w:val="nil"/>
            </w:tcBorders>
            <w:shd w:val="clear" w:color="auto" w:fill="auto"/>
            <w:noWrap/>
            <w:vAlign w:val="center"/>
            <w:hideMark/>
          </w:tcPr>
          <w:p w14:paraId="29D551AD" w14:textId="77777777" w:rsidR="00ED5EBD" w:rsidRPr="00F81994" w:rsidRDefault="00ED5EBD" w:rsidP="00313E25">
            <w:pPr>
              <w:spacing w:after="0" w:line="480" w:lineRule="auto"/>
              <w:rPr>
                <w:rFonts w:eastAsia="Times New Roman"/>
                <w:color w:val="000000"/>
                <w:szCs w:val="24"/>
                <w:lang w:eastAsia="pt-BR"/>
              </w:rPr>
            </w:pPr>
            <w:r w:rsidRPr="00F81994">
              <w:rPr>
                <w:rFonts w:eastAsia="Times New Roman"/>
                <w:color w:val="000000"/>
                <w:szCs w:val="24"/>
                <w:lang w:eastAsia="pt-BR"/>
              </w:rPr>
              <w:t>Tomate</w:t>
            </w:r>
          </w:p>
        </w:tc>
        <w:tc>
          <w:tcPr>
            <w:tcW w:w="1500" w:type="pct"/>
            <w:tcBorders>
              <w:top w:val="nil"/>
              <w:left w:val="nil"/>
              <w:bottom w:val="single" w:sz="4" w:space="0" w:color="auto"/>
              <w:right w:val="nil"/>
            </w:tcBorders>
            <w:shd w:val="clear" w:color="auto" w:fill="auto"/>
            <w:noWrap/>
            <w:vAlign w:val="center"/>
            <w:hideMark/>
          </w:tcPr>
          <w:p w14:paraId="77AB11BE" w14:textId="77777777" w:rsidR="00ED5EBD" w:rsidRPr="00F81994" w:rsidRDefault="00ED5EBD" w:rsidP="00313E25">
            <w:pPr>
              <w:spacing w:after="0" w:line="480" w:lineRule="auto"/>
              <w:jc w:val="center"/>
              <w:rPr>
                <w:rFonts w:eastAsia="Times New Roman"/>
                <w:color w:val="000000"/>
                <w:szCs w:val="24"/>
                <w:lang w:eastAsia="pt-BR"/>
              </w:rPr>
            </w:pPr>
            <w:r w:rsidRPr="00F81994">
              <w:rPr>
                <w:rFonts w:eastAsia="Times New Roman"/>
                <w:color w:val="000000"/>
                <w:szCs w:val="24"/>
                <w:lang w:eastAsia="pt-BR"/>
              </w:rPr>
              <w:t>2,7</w:t>
            </w:r>
          </w:p>
        </w:tc>
        <w:tc>
          <w:tcPr>
            <w:tcW w:w="892" w:type="pct"/>
            <w:tcBorders>
              <w:top w:val="nil"/>
              <w:left w:val="nil"/>
              <w:bottom w:val="single" w:sz="4" w:space="0" w:color="auto"/>
              <w:right w:val="nil"/>
            </w:tcBorders>
            <w:shd w:val="clear" w:color="auto" w:fill="auto"/>
            <w:noWrap/>
            <w:vAlign w:val="center"/>
            <w:hideMark/>
          </w:tcPr>
          <w:p w14:paraId="78D49331" w14:textId="77777777" w:rsidR="00ED5EBD" w:rsidRPr="00F81994" w:rsidRDefault="00ED5EBD" w:rsidP="00313E25">
            <w:pPr>
              <w:spacing w:after="0" w:line="480" w:lineRule="auto"/>
              <w:jc w:val="center"/>
              <w:rPr>
                <w:rFonts w:eastAsia="Times New Roman"/>
                <w:color w:val="000000"/>
                <w:szCs w:val="24"/>
                <w:lang w:eastAsia="pt-BR"/>
              </w:rPr>
            </w:pPr>
            <w:r w:rsidRPr="00F81994">
              <w:rPr>
                <w:rFonts w:eastAsia="Times New Roman"/>
                <w:color w:val="000000"/>
                <w:szCs w:val="24"/>
                <w:lang w:eastAsia="pt-BR"/>
              </w:rPr>
              <w:t>2,2</w:t>
            </w:r>
          </w:p>
        </w:tc>
        <w:tc>
          <w:tcPr>
            <w:tcW w:w="875" w:type="pct"/>
            <w:tcBorders>
              <w:top w:val="nil"/>
              <w:left w:val="nil"/>
              <w:bottom w:val="single" w:sz="4" w:space="0" w:color="auto"/>
              <w:right w:val="nil"/>
            </w:tcBorders>
            <w:shd w:val="clear" w:color="auto" w:fill="auto"/>
            <w:noWrap/>
            <w:vAlign w:val="center"/>
            <w:hideMark/>
          </w:tcPr>
          <w:p w14:paraId="0E1FB1AB" w14:textId="77777777" w:rsidR="00ED5EBD" w:rsidRPr="00F81994" w:rsidRDefault="00ED5EBD" w:rsidP="00313E25">
            <w:pPr>
              <w:spacing w:after="0" w:line="480" w:lineRule="auto"/>
              <w:jc w:val="center"/>
              <w:rPr>
                <w:rFonts w:eastAsia="Times New Roman"/>
                <w:color w:val="000000"/>
                <w:szCs w:val="24"/>
                <w:lang w:eastAsia="pt-BR"/>
              </w:rPr>
            </w:pPr>
            <w:r w:rsidRPr="00F81994">
              <w:rPr>
                <w:rFonts w:eastAsia="Times New Roman"/>
                <w:color w:val="000000"/>
                <w:szCs w:val="24"/>
                <w:lang w:eastAsia="pt-BR"/>
              </w:rPr>
              <w:t>0,6</w:t>
            </w:r>
          </w:p>
        </w:tc>
        <w:tc>
          <w:tcPr>
            <w:tcW w:w="684" w:type="pct"/>
            <w:tcBorders>
              <w:top w:val="nil"/>
              <w:left w:val="nil"/>
              <w:bottom w:val="single" w:sz="4" w:space="0" w:color="auto"/>
              <w:right w:val="nil"/>
            </w:tcBorders>
            <w:shd w:val="clear" w:color="auto" w:fill="auto"/>
            <w:noWrap/>
            <w:vAlign w:val="center"/>
            <w:hideMark/>
          </w:tcPr>
          <w:p w14:paraId="70EFB221" w14:textId="77777777" w:rsidR="00ED5EBD" w:rsidRPr="00F81994" w:rsidRDefault="00ED5EBD" w:rsidP="00313E25">
            <w:pPr>
              <w:spacing w:after="0" w:line="480" w:lineRule="auto"/>
              <w:jc w:val="center"/>
              <w:rPr>
                <w:rFonts w:eastAsia="Times New Roman"/>
                <w:color w:val="000000"/>
                <w:szCs w:val="24"/>
                <w:lang w:eastAsia="pt-BR"/>
              </w:rPr>
            </w:pPr>
            <w:r w:rsidRPr="00F81994">
              <w:rPr>
                <w:rFonts w:eastAsia="Times New Roman"/>
                <w:color w:val="000000"/>
                <w:szCs w:val="24"/>
                <w:lang w:eastAsia="pt-BR"/>
              </w:rPr>
              <w:t>1,3</w:t>
            </w:r>
          </w:p>
        </w:tc>
      </w:tr>
    </w:tbl>
    <w:p w14:paraId="070E646C" w14:textId="77777777" w:rsidR="00ED5EBD" w:rsidRDefault="00ED5EBD" w:rsidP="00ED5EBD">
      <w:pPr>
        <w:spacing w:line="480" w:lineRule="auto"/>
        <w:jc w:val="both"/>
      </w:pPr>
      <w:r w:rsidRPr="00F81994">
        <w:rPr>
          <w:vertAlign w:val="superscript"/>
        </w:rPr>
        <w:t>/1</w:t>
      </w:r>
      <w:r w:rsidRPr="00F81994">
        <w:t xml:space="preserve"> Dose necessária para p</w:t>
      </w:r>
      <w:r>
        <w:t>roporcionar 50% de intoxicação ou</w:t>
      </w:r>
      <w:r w:rsidRPr="00F81994">
        <w:t xml:space="preserve"> redução de 50% na matéria</w:t>
      </w:r>
      <w:r>
        <w:t xml:space="preserve"> seca; </w:t>
      </w:r>
      <w:r w:rsidRPr="00F81994">
        <w:rPr>
          <w:vertAlign w:val="superscript"/>
        </w:rPr>
        <w:t>/2</w:t>
      </w:r>
      <w:r>
        <w:t xml:space="preserve"> </w:t>
      </w:r>
      <w:proofErr w:type="gramStart"/>
      <w:r>
        <w:t>Não</w:t>
      </w:r>
      <w:proofErr w:type="gramEnd"/>
      <w:r>
        <w:t xml:space="preserve"> detectado.</w:t>
      </w:r>
    </w:p>
    <w:p w14:paraId="2282EBDD" w14:textId="1BB8E550" w:rsidR="00FA0633" w:rsidRPr="00030C20" w:rsidRDefault="00FA0633" w:rsidP="002E5C01">
      <w:pPr>
        <w:spacing w:line="480" w:lineRule="auto"/>
        <w:jc w:val="both"/>
      </w:pPr>
    </w:p>
    <w:sectPr w:rsidR="00FA0633" w:rsidRPr="00030C20" w:rsidSect="00ED5EBD">
      <w:pgSz w:w="11906" w:h="16838"/>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F0AD1" w14:textId="77777777" w:rsidR="003B5FDC" w:rsidRDefault="003B5FDC" w:rsidP="001B2802">
      <w:pPr>
        <w:spacing w:after="0" w:line="240" w:lineRule="auto"/>
      </w:pPr>
      <w:r>
        <w:separator/>
      </w:r>
    </w:p>
  </w:endnote>
  <w:endnote w:type="continuationSeparator" w:id="0">
    <w:p w14:paraId="529FC80C" w14:textId="77777777" w:rsidR="003B5FDC" w:rsidRDefault="003B5FDC" w:rsidP="001B2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7724748"/>
      <w:docPartObj>
        <w:docPartGallery w:val="Page Numbers (Bottom of Page)"/>
        <w:docPartUnique/>
      </w:docPartObj>
    </w:sdtPr>
    <w:sdtEndPr/>
    <w:sdtContent>
      <w:p w14:paraId="6341E2F2" w14:textId="77777777" w:rsidR="00D83456" w:rsidRDefault="00D83456">
        <w:pPr>
          <w:pStyle w:val="Rodap"/>
          <w:jc w:val="right"/>
        </w:pPr>
        <w:r>
          <w:fldChar w:fldCharType="begin"/>
        </w:r>
        <w:r>
          <w:instrText>PAGE   \* MERGEFORMAT</w:instrText>
        </w:r>
        <w:r>
          <w:fldChar w:fldCharType="separate"/>
        </w:r>
        <w:r>
          <w:t>2</w:t>
        </w:r>
        <w:r>
          <w:fldChar w:fldCharType="end"/>
        </w:r>
      </w:p>
    </w:sdtContent>
  </w:sdt>
  <w:p w14:paraId="71AC4217" w14:textId="77777777" w:rsidR="00D83456" w:rsidRDefault="00D8345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1725625"/>
      <w:docPartObj>
        <w:docPartGallery w:val="Page Numbers (Bottom of Page)"/>
        <w:docPartUnique/>
      </w:docPartObj>
    </w:sdtPr>
    <w:sdtEndPr/>
    <w:sdtContent>
      <w:p w14:paraId="54E448A4" w14:textId="703C250A" w:rsidR="00313E25" w:rsidRDefault="00313E25">
        <w:pPr>
          <w:pStyle w:val="Rodap"/>
          <w:jc w:val="right"/>
        </w:pPr>
        <w:r>
          <w:fldChar w:fldCharType="begin"/>
        </w:r>
        <w:r>
          <w:instrText>PAGE   \* MERGEFORMAT</w:instrText>
        </w:r>
        <w:r>
          <w:fldChar w:fldCharType="separate"/>
        </w:r>
        <w:r>
          <w:t>2</w:t>
        </w:r>
        <w:r>
          <w:fldChar w:fldCharType="end"/>
        </w:r>
      </w:p>
    </w:sdtContent>
  </w:sdt>
  <w:p w14:paraId="76152803" w14:textId="77777777" w:rsidR="00313E25" w:rsidRDefault="00313E2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CFECB" w14:textId="77777777" w:rsidR="003B5FDC" w:rsidRDefault="003B5FDC" w:rsidP="001B2802">
      <w:pPr>
        <w:spacing w:after="0" w:line="240" w:lineRule="auto"/>
      </w:pPr>
      <w:r>
        <w:separator/>
      </w:r>
    </w:p>
  </w:footnote>
  <w:footnote w:type="continuationSeparator" w:id="0">
    <w:p w14:paraId="13909D96" w14:textId="77777777" w:rsidR="003B5FDC" w:rsidRDefault="003B5FDC" w:rsidP="001B28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F71"/>
    <w:rsid w:val="0000165E"/>
    <w:rsid w:val="000146D4"/>
    <w:rsid w:val="00015D74"/>
    <w:rsid w:val="00030C20"/>
    <w:rsid w:val="00054843"/>
    <w:rsid w:val="0005561D"/>
    <w:rsid w:val="000575E0"/>
    <w:rsid w:val="00057F03"/>
    <w:rsid w:val="00072130"/>
    <w:rsid w:val="00073E09"/>
    <w:rsid w:val="00080026"/>
    <w:rsid w:val="00080645"/>
    <w:rsid w:val="00083FE8"/>
    <w:rsid w:val="00093DEA"/>
    <w:rsid w:val="000C10D7"/>
    <w:rsid w:val="000D16A7"/>
    <w:rsid w:val="000D7979"/>
    <w:rsid w:val="000E02F4"/>
    <w:rsid w:val="000F170E"/>
    <w:rsid w:val="00100884"/>
    <w:rsid w:val="0011429C"/>
    <w:rsid w:val="00123BEC"/>
    <w:rsid w:val="001248D0"/>
    <w:rsid w:val="001571CD"/>
    <w:rsid w:val="00157D9F"/>
    <w:rsid w:val="00177A35"/>
    <w:rsid w:val="00183C6E"/>
    <w:rsid w:val="00190F72"/>
    <w:rsid w:val="001A56B9"/>
    <w:rsid w:val="001B2802"/>
    <w:rsid w:val="001C5B02"/>
    <w:rsid w:val="001D7A63"/>
    <w:rsid w:val="001E5F97"/>
    <w:rsid w:val="001E78A0"/>
    <w:rsid w:val="001F73A9"/>
    <w:rsid w:val="0020768A"/>
    <w:rsid w:val="00214C08"/>
    <w:rsid w:val="002225C3"/>
    <w:rsid w:val="00222905"/>
    <w:rsid w:val="00227E22"/>
    <w:rsid w:val="002305E4"/>
    <w:rsid w:val="00232C72"/>
    <w:rsid w:val="002470BB"/>
    <w:rsid w:val="00261D34"/>
    <w:rsid w:val="00267CD8"/>
    <w:rsid w:val="00285A61"/>
    <w:rsid w:val="00295E70"/>
    <w:rsid w:val="002A255D"/>
    <w:rsid w:val="002B7FA3"/>
    <w:rsid w:val="002C2341"/>
    <w:rsid w:val="002C6A04"/>
    <w:rsid w:val="002C72FE"/>
    <w:rsid w:val="002D3964"/>
    <w:rsid w:val="002D582F"/>
    <w:rsid w:val="002D7017"/>
    <w:rsid w:val="002E5C01"/>
    <w:rsid w:val="002F4271"/>
    <w:rsid w:val="003108FE"/>
    <w:rsid w:val="00313E25"/>
    <w:rsid w:val="00333435"/>
    <w:rsid w:val="00350F98"/>
    <w:rsid w:val="003520E4"/>
    <w:rsid w:val="00392B54"/>
    <w:rsid w:val="003A2A07"/>
    <w:rsid w:val="003A6F9E"/>
    <w:rsid w:val="003B361B"/>
    <w:rsid w:val="003B5FDC"/>
    <w:rsid w:val="003C501A"/>
    <w:rsid w:val="003D47E9"/>
    <w:rsid w:val="003F1EA6"/>
    <w:rsid w:val="004060B3"/>
    <w:rsid w:val="00410702"/>
    <w:rsid w:val="00424FB9"/>
    <w:rsid w:val="0044413E"/>
    <w:rsid w:val="00451708"/>
    <w:rsid w:val="00460732"/>
    <w:rsid w:val="00462CD2"/>
    <w:rsid w:val="00470557"/>
    <w:rsid w:val="00477472"/>
    <w:rsid w:val="00487A97"/>
    <w:rsid w:val="004A1178"/>
    <w:rsid w:val="004A2888"/>
    <w:rsid w:val="004A378B"/>
    <w:rsid w:val="004B1C84"/>
    <w:rsid w:val="004D03D3"/>
    <w:rsid w:val="004D054B"/>
    <w:rsid w:val="004D7965"/>
    <w:rsid w:val="004D7A0B"/>
    <w:rsid w:val="004E6196"/>
    <w:rsid w:val="004F6FD5"/>
    <w:rsid w:val="0050399E"/>
    <w:rsid w:val="00512940"/>
    <w:rsid w:val="005240EF"/>
    <w:rsid w:val="0052572D"/>
    <w:rsid w:val="0053288E"/>
    <w:rsid w:val="00556003"/>
    <w:rsid w:val="00560E24"/>
    <w:rsid w:val="0057392E"/>
    <w:rsid w:val="00582E9F"/>
    <w:rsid w:val="0059442D"/>
    <w:rsid w:val="00594733"/>
    <w:rsid w:val="005A0384"/>
    <w:rsid w:val="005A4165"/>
    <w:rsid w:val="005D3FAD"/>
    <w:rsid w:val="005E2A83"/>
    <w:rsid w:val="005E30C9"/>
    <w:rsid w:val="005F232D"/>
    <w:rsid w:val="00603FF1"/>
    <w:rsid w:val="0064122A"/>
    <w:rsid w:val="006472C5"/>
    <w:rsid w:val="00660D2D"/>
    <w:rsid w:val="006646B2"/>
    <w:rsid w:val="00672A72"/>
    <w:rsid w:val="00680979"/>
    <w:rsid w:val="00682E77"/>
    <w:rsid w:val="006874ED"/>
    <w:rsid w:val="006905EC"/>
    <w:rsid w:val="00692083"/>
    <w:rsid w:val="006A1058"/>
    <w:rsid w:val="006A1E9C"/>
    <w:rsid w:val="006B2E70"/>
    <w:rsid w:val="006B39CD"/>
    <w:rsid w:val="006C3BFE"/>
    <w:rsid w:val="006C5529"/>
    <w:rsid w:val="006C78D2"/>
    <w:rsid w:val="006D267C"/>
    <w:rsid w:val="006D4CFE"/>
    <w:rsid w:val="006F1066"/>
    <w:rsid w:val="006F15BC"/>
    <w:rsid w:val="006F6C6C"/>
    <w:rsid w:val="007255CA"/>
    <w:rsid w:val="00742C91"/>
    <w:rsid w:val="00743647"/>
    <w:rsid w:val="00764D2E"/>
    <w:rsid w:val="00765939"/>
    <w:rsid w:val="007678C2"/>
    <w:rsid w:val="007727E2"/>
    <w:rsid w:val="00787F7E"/>
    <w:rsid w:val="0079219F"/>
    <w:rsid w:val="007A1278"/>
    <w:rsid w:val="007B27DE"/>
    <w:rsid w:val="007C372C"/>
    <w:rsid w:val="007E4D6D"/>
    <w:rsid w:val="007E5D64"/>
    <w:rsid w:val="007E6E2F"/>
    <w:rsid w:val="00802423"/>
    <w:rsid w:val="00802D8C"/>
    <w:rsid w:val="00805F6D"/>
    <w:rsid w:val="00820E32"/>
    <w:rsid w:val="00830127"/>
    <w:rsid w:val="008334DD"/>
    <w:rsid w:val="0084638D"/>
    <w:rsid w:val="00853A5E"/>
    <w:rsid w:val="008602F3"/>
    <w:rsid w:val="00863411"/>
    <w:rsid w:val="00870238"/>
    <w:rsid w:val="0087168E"/>
    <w:rsid w:val="00872103"/>
    <w:rsid w:val="00883882"/>
    <w:rsid w:val="00883AFD"/>
    <w:rsid w:val="00884BE4"/>
    <w:rsid w:val="00887D6D"/>
    <w:rsid w:val="008A027C"/>
    <w:rsid w:val="008A7717"/>
    <w:rsid w:val="008B15C9"/>
    <w:rsid w:val="008C0D26"/>
    <w:rsid w:val="008C3911"/>
    <w:rsid w:val="008D73C9"/>
    <w:rsid w:val="008E3A5A"/>
    <w:rsid w:val="008F238F"/>
    <w:rsid w:val="008F2BA7"/>
    <w:rsid w:val="008F71B6"/>
    <w:rsid w:val="00902D3C"/>
    <w:rsid w:val="00905211"/>
    <w:rsid w:val="00910745"/>
    <w:rsid w:val="009149F4"/>
    <w:rsid w:val="009205CA"/>
    <w:rsid w:val="00924780"/>
    <w:rsid w:val="00941872"/>
    <w:rsid w:val="00961FFA"/>
    <w:rsid w:val="00995266"/>
    <w:rsid w:val="009953FE"/>
    <w:rsid w:val="00997B3C"/>
    <w:rsid w:val="009A0EFA"/>
    <w:rsid w:val="009A0F39"/>
    <w:rsid w:val="009A26DC"/>
    <w:rsid w:val="009A327D"/>
    <w:rsid w:val="009D389B"/>
    <w:rsid w:val="009D7A74"/>
    <w:rsid w:val="009E3064"/>
    <w:rsid w:val="009E712D"/>
    <w:rsid w:val="009F4621"/>
    <w:rsid w:val="00A00C74"/>
    <w:rsid w:val="00A029CA"/>
    <w:rsid w:val="00A06E4F"/>
    <w:rsid w:val="00A22C5B"/>
    <w:rsid w:val="00A23F8B"/>
    <w:rsid w:val="00A26ACB"/>
    <w:rsid w:val="00A33822"/>
    <w:rsid w:val="00A33BFE"/>
    <w:rsid w:val="00A359F1"/>
    <w:rsid w:val="00A37AE2"/>
    <w:rsid w:val="00A41FE1"/>
    <w:rsid w:val="00A53EB1"/>
    <w:rsid w:val="00A668A9"/>
    <w:rsid w:val="00A767DA"/>
    <w:rsid w:val="00A81E4C"/>
    <w:rsid w:val="00A93100"/>
    <w:rsid w:val="00AA10ED"/>
    <w:rsid w:val="00AB3DDC"/>
    <w:rsid w:val="00AC6D6E"/>
    <w:rsid w:val="00AD5E19"/>
    <w:rsid w:val="00AE1E19"/>
    <w:rsid w:val="00B004B1"/>
    <w:rsid w:val="00B1005A"/>
    <w:rsid w:val="00B109DB"/>
    <w:rsid w:val="00B114AE"/>
    <w:rsid w:val="00B252EF"/>
    <w:rsid w:val="00B2532A"/>
    <w:rsid w:val="00B40570"/>
    <w:rsid w:val="00B41789"/>
    <w:rsid w:val="00B4273D"/>
    <w:rsid w:val="00B4339E"/>
    <w:rsid w:val="00B46A1E"/>
    <w:rsid w:val="00B47922"/>
    <w:rsid w:val="00B53629"/>
    <w:rsid w:val="00B60EC8"/>
    <w:rsid w:val="00B6758D"/>
    <w:rsid w:val="00B756F0"/>
    <w:rsid w:val="00B76C64"/>
    <w:rsid w:val="00B818D7"/>
    <w:rsid w:val="00B94DB8"/>
    <w:rsid w:val="00BE48ED"/>
    <w:rsid w:val="00BF00FB"/>
    <w:rsid w:val="00C079E1"/>
    <w:rsid w:val="00C15BDC"/>
    <w:rsid w:val="00C22F8B"/>
    <w:rsid w:val="00C3219B"/>
    <w:rsid w:val="00C401C8"/>
    <w:rsid w:val="00C51A42"/>
    <w:rsid w:val="00C523EE"/>
    <w:rsid w:val="00C800EB"/>
    <w:rsid w:val="00C847FD"/>
    <w:rsid w:val="00C908D5"/>
    <w:rsid w:val="00C90F4D"/>
    <w:rsid w:val="00CA2939"/>
    <w:rsid w:val="00CA66A9"/>
    <w:rsid w:val="00CA6E1B"/>
    <w:rsid w:val="00CA7C05"/>
    <w:rsid w:val="00CB6B1A"/>
    <w:rsid w:val="00CC0997"/>
    <w:rsid w:val="00CC2697"/>
    <w:rsid w:val="00CD650F"/>
    <w:rsid w:val="00CE2878"/>
    <w:rsid w:val="00CF2199"/>
    <w:rsid w:val="00CF40DC"/>
    <w:rsid w:val="00CF75D7"/>
    <w:rsid w:val="00D0390A"/>
    <w:rsid w:val="00D0475F"/>
    <w:rsid w:val="00D174E9"/>
    <w:rsid w:val="00D66156"/>
    <w:rsid w:val="00D82BD6"/>
    <w:rsid w:val="00D83456"/>
    <w:rsid w:val="00D86937"/>
    <w:rsid w:val="00D92D2C"/>
    <w:rsid w:val="00DA36F4"/>
    <w:rsid w:val="00DB416B"/>
    <w:rsid w:val="00DD6760"/>
    <w:rsid w:val="00DE05B2"/>
    <w:rsid w:val="00DE3B9C"/>
    <w:rsid w:val="00DE5491"/>
    <w:rsid w:val="00DF4E75"/>
    <w:rsid w:val="00DF6820"/>
    <w:rsid w:val="00E32D87"/>
    <w:rsid w:val="00E37641"/>
    <w:rsid w:val="00E40CE8"/>
    <w:rsid w:val="00E4206C"/>
    <w:rsid w:val="00E471F8"/>
    <w:rsid w:val="00E7305E"/>
    <w:rsid w:val="00E73CB8"/>
    <w:rsid w:val="00E749F8"/>
    <w:rsid w:val="00E9009C"/>
    <w:rsid w:val="00E94431"/>
    <w:rsid w:val="00E95C70"/>
    <w:rsid w:val="00EA4C7A"/>
    <w:rsid w:val="00EA5F6B"/>
    <w:rsid w:val="00EB1E36"/>
    <w:rsid w:val="00EC2E8D"/>
    <w:rsid w:val="00EC3DA4"/>
    <w:rsid w:val="00EC70DC"/>
    <w:rsid w:val="00ED5EBD"/>
    <w:rsid w:val="00ED74DF"/>
    <w:rsid w:val="00EE04D2"/>
    <w:rsid w:val="00EE1D70"/>
    <w:rsid w:val="00EE3A3E"/>
    <w:rsid w:val="00EF0314"/>
    <w:rsid w:val="00EF2E0E"/>
    <w:rsid w:val="00F01F71"/>
    <w:rsid w:val="00F06B5D"/>
    <w:rsid w:val="00F12080"/>
    <w:rsid w:val="00F24B56"/>
    <w:rsid w:val="00F318FE"/>
    <w:rsid w:val="00F31E50"/>
    <w:rsid w:val="00F36F3D"/>
    <w:rsid w:val="00F4171F"/>
    <w:rsid w:val="00F4633E"/>
    <w:rsid w:val="00F523BF"/>
    <w:rsid w:val="00F62DEE"/>
    <w:rsid w:val="00F703D1"/>
    <w:rsid w:val="00F73C64"/>
    <w:rsid w:val="00F80A32"/>
    <w:rsid w:val="00F80F44"/>
    <w:rsid w:val="00F81994"/>
    <w:rsid w:val="00F84A04"/>
    <w:rsid w:val="00F909EF"/>
    <w:rsid w:val="00F91925"/>
    <w:rsid w:val="00F931D6"/>
    <w:rsid w:val="00FA0633"/>
    <w:rsid w:val="00FB0D71"/>
    <w:rsid w:val="00FC00B5"/>
    <w:rsid w:val="00FC37A0"/>
    <w:rsid w:val="00FD2EEF"/>
    <w:rsid w:val="00FD3820"/>
    <w:rsid w:val="00FD796D"/>
    <w:rsid w:val="00FE251B"/>
    <w:rsid w:val="00FE54E9"/>
    <w:rsid w:val="00FF086B"/>
    <w:rsid w:val="00FF5EE9"/>
    <w:rsid w:val="00FF60A9"/>
    <w:rsid w:val="00FF60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C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874ED"/>
    <w:rPr>
      <w:color w:val="0000FF" w:themeColor="hyperlink"/>
      <w:u w:val="single"/>
    </w:rPr>
  </w:style>
  <w:style w:type="paragraph" w:styleId="Textodebalo">
    <w:name w:val="Balloon Text"/>
    <w:basedOn w:val="Normal"/>
    <w:link w:val="TextodebaloChar"/>
    <w:uiPriority w:val="99"/>
    <w:semiHidden/>
    <w:unhideWhenUsed/>
    <w:rsid w:val="00FA063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A0633"/>
    <w:rPr>
      <w:rFonts w:ascii="Tahoma" w:hAnsi="Tahoma" w:cs="Tahoma"/>
      <w:sz w:val="16"/>
      <w:szCs w:val="16"/>
    </w:rPr>
  </w:style>
  <w:style w:type="paragraph" w:customStyle="1" w:styleId="author">
    <w:name w:val="author"/>
    <w:basedOn w:val="Normal"/>
    <w:rsid w:val="001248D0"/>
    <w:pPr>
      <w:spacing w:before="100" w:beforeAutospacing="1" w:after="100" w:afterAutospacing="1" w:line="240" w:lineRule="auto"/>
    </w:pPr>
    <w:rPr>
      <w:rFonts w:eastAsia="Times New Roman"/>
      <w:szCs w:val="24"/>
      <w:lang w:eastAsia="pt-BR"/>
    </w:rPr>
  </w:style>
  <w:style w:type="character" w:customStyle="1" w:styleId="author-name">
    <w:name w:val="author-name"/>
    <w:basedOn w:val="Fontepargpadro"/>
    <w:rsid w:val="001248D0"/>
  </w:style>
  <w:style w:type="paragraph" w:styleId="Cabealho">
    <w:name w:val="header"/>
    <w:basedOn w:val="Normal"/>
    <w:link w:val="CabealhoChar"/>
    <w:uiPriority w:val="99"/>
    <w:unhideWhenUsed/>
    <w:rsid w:val="001B28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B2802"/>
  </w:style>
  <w:style w:type="paragraph" w:styleId="Rodap">
    <w:name w:val="footer"/>
    <w:basedOn w:val="Normal"/>
    <w:link w:val="RodapChar"/>
    <w:uiPriority w:val="99"/>
    <w:unhideWhenUsed/>
    <w:rsid w:val="001B2802"/>
    <w:pPr>
      <w:tabs>
        <w:tab w:val="center" w:pos="4252"/>
        <w:tab w:val="right" w:pos="8504"/>
      </w:tabs>
      <w:spacing w:after="0" w:line="240" w:lineRule="auto"/>
    </w:pPr>
  </w:style>
  <w:style w:type="character" w:customStyle="1" w:styleId="RodapChar">
    <w:name w:val="Rodapé Char"/>
    <w:basedOn w:val="Fontepargpadro"/>
    <w:link w:val="Rodap"/>
    <w:uiPriority w:val="99"/>
    <w:rsid w:val="001B2802"/>
  </w:style>
  <w:style w:type="character" w:styleId="Refdecomentrio">
    <w:name w:val="annotation reference"/>
    <w:basedOn w:val="Fontepargpadro"/>
    <w:uiPriority w:val="99"/>
    <w:semiHidden/>
    <w:unhideWhenUsed/>
    <w:rsid w:val="002A255D"/>
    <w:rPr>
      <w:sz w:val="16"/>
      <w:szCs w:val="16"/>
    </w:rPr>
  </w:style>
  <w:style w:type="paragraph" w:styleId="Textodecomentrio">
    <w:name w:val="annotation text"/>
    <w:basedOn w:val="Normal"/>
    <w:link w:val="TextodecomentrioChar"/>
    <w:uiPriority w:val="99"/>
    <w:semiHidden/>
    <w:unhideWhenUsed/>
    <w:rsid w:val="002A255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A255D"/>
    <w:rPr>
      <w:sz w:val="20"/>
      <w:szCs w:val="20"/>
    </w:rPr>
  </w:style>
  <w:style w:type="paragraph" w:styleId="Assuntodocomentrio">
    <w:name w:val="annotation subject"/>
    <w:basedOn w:val="Textodecomentrio"/>
    <w:next w:val="Textodecomentrio"/>
    <w:link w:val="AssuntodocomentrioChar"/>
    <w:uiPriority w:val="99"/>
    <w:semiHidden/>
    <w:unhideWhenUsed/>
    <w:rsid w:val="002A255D"/>
    <w:rPr>
      <w:b/>
      <w:bCs/>
    </w:rPr>
  </w:style>
  <w:style w:type="character" w:customStyle="1" w:styleId="AssuntodocomentrioChar">
    <w:name w:val="Assunto do comentário Char"/>
    <w:basedOn w:val="TextodecomentrioChar"/>
    <w:link w:val="Assuntodocomentrio"/>
    <w:uiPriority w:val="99"/>
    <w:semiHidden/>
    <w:rsid w:val="002A255D"/>
    <w:rPr>
      <w:b/>
      <w:bCs/>
      <w:sz w:val="20"/>
      <w:szCs w:val="20"/>
    </w:rPr>
  </w:style>
  <w:style w:type="paragraph" w:styleId="PargrafodaLista">
    <w:name w:val="List Paragraph"/>
    <w:basedOn w:val="Normal"/>
    <w:uiPriority w:val="34"/>
    <w:qFormat/>
    <w:rsid w:val="00A00C74"/>
    <w:pPr>
      <w:ind w:left="720"/>
      <w:contextualSpacing/>
    </w:pPr>
  </w:style>
  <w:style w:type="character" w:customStyle="1" w:styleId="fontstyle01">
    <w:name w:val="fontstyle01"/>
    <w:basedOn w:val="Fontepargpadro"/>
    <w:rsid w:val="00CA66A9"/>
    <w:rPr>
      <w:rFonts w:ascii="TimesNewRomanPSMT" w:hAnsi="TimesNewRomanPSMT" w:hint="default"/>
      <w:b w:val="0"/>
      <w:bCs w:val="0"/>
      <w:i w:val="0"/>
      <w:iCs w:val="0"/>
      <w:color w:val="000000"/>
      <w:sz w:val="24"/>
      <w:szCs w:val="24"/>
    </w:rPr>
  </w:style>
  <w:style w:type="paragraph" w:styleId="Pr-formataoHTML">
    <w:name w:val="HTML Preformatted"/>
    <w:basedOn w:val="Normal"/>
    <w:link w:val="Pr-formataoHTMLChar"/>
    <w:uiPriority w:val="99"/>
    <w:semiHidden/>
    <w:unhideWhenUsed/>
    <w:rsid w:val="002D5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2D582F"/>
    <w:rPr>
      <w:rFonts w:ascii="Courier New" w:eastAsia="Times New Roman" w:hAnsi="Courier New" w:cs="Courier New"/>
      <w:sz w:val="20"/>
      <w:szCs w:val="20"/>
      <w:lang w:eastAsia="pt-BR"/>
    </w:rPr>
  </w:style>
  <w:style w:type="character" w:styleId="Nmerodelinha">
    <w:name w:val="line number"/>
    <w:basedOn w:val="Fontepargpadro"/>
    <w:uiPriority w:val="99"/>
    <w:semiHidden/>
    <w:unhideWhenUsed/>
    <w:rsid w:val="00ED5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79839">
      <w:bodyDiv w:val="1"/>
      <w:marLeft w:val="0"/>
      <w:marRight w:val="0"/>
      <w:marTop w:val="0"/>
      <w:marBottom w:val="0"/>
      <w:divBdr>
        <w:top w:val="none" w:sz="0" w:space="0" w:color="auto"/>
        <w:left w:val="none" w:sz="0" w:space="0" w:color="auto"/>
        <w:bottom w:val="none" w:sz="0" w:space="0" w:color="auto"/>
        <w:right w:val="none" w:sz="0" w:space="0" w:color="auto"/>
      </w:divBdr>
      <w:divsChild>
        <w:div w:id="1129082311">
          <w:marLeft w:val="0"/>
          <w:marRight w:val="0"/>
          <w:marTop w:val="0"/>
          <w:marBottom w:val="0"/>
          <w:divBdr>
            <w:top w:val="none" w:sz="0" w:space="0" w:color="auto"/>
            <w:left w:val="none" w:sz="0" w:space="0" w:color="auto"/>
            <w:bottom w:val="none" w:sz="0" w:space="0" w:color="auto"/>
            <w:right w:val="none" w:sz="0" w:space="0" w:color="auto"/>
          </w:divBdr>
        </w:div>
        <w:div w:id="378088918">
          <w:marLeft w:val="0"/>
          <w:marRight w:val="0"/>
          <w:marTop w:val="0"/>
          <w:marBottom w:val="0"/>
          <w:divBdr>
            <w:top w:val="none" w:sz="0" w:space="0" w:color="auto"/>
            <w:left w:val="none" w:sz="0" w:space="0" w:color="auto"/>
            <w:bottom w:val="none" w:sz="0" w:space="0" w:color="auto"/>
            <w:right w:val="none" w:sz="0" w:space="0" w:color="auto"/>
          </w:divBdr>
        </w:div>
      </w:divsChild>
    </w:div>
    <w:div w:id="205415140">
      <w:bodyDiv w:val="1"/>
      <w:marLeft w:val="0"/>
      <w:marRight w:val="0"/>
      <w:marTop w:val="0"/>
      <w:marBottom w:val="0"/>
      <w:divBdr>
        <w:top w:val="none" w:sz="0" w:space="0" w:color="auto"/>
        <w:left w:val="none" w:sz="0" w:space="0" w:color="auto"/>
        <w:bottom w:val="none" w:sz="0" w:space="0" w:color="auto"/>
        <w:right w:val="none" w:sz="0" w:space="0" w:color="auto"/>
      </w:divBdr>
      <w:divsChild>
        <w:div w:id="225337834">
          <w:marLeft w:val="0"/>
          <w:marRight w:val="0"/>
          <w:marTop w:val="0"/>
          <w:marBottom w:val="0"/>
          <w:divBdr>
            <w:top w:val="none" w:sz="0" w:space="0" w:color="auto"/>
            <w:left w:val="none" w:sz="0" w:space="0" w:color="auto"/>
            <w:bottom w:val="none" w:sz="0" w:space="0" w:color="auto"/>
            <w:right w:val="none" w:sz="0" w:space="0" w:color="auto"/>
          </w:divBdr>
        </w:div>
        <w:div w:id="1945461093">
          <w:marLeft w:val="0"/>
          <w:marRight w:val="0"/>
          <w:marTop w:val="0"/>
          <w:marBottom w:val="0"/>
          <w:divBdr>
            <w:top w:val="none" w:sz="0" w:space="0" w:color="auto"/>
            <w:left w:val="none" w:sz="0" w:space="0" w:color="auto"/>
            <w:bottom w:val="none" w:sz="0" w:space="0" w:color="auto"/>
            <w:right w:val="none" w:sz="0" w:space="0" w:color="auto"/>
          </w:divBdr>
        </w:div>
      </w:divsChild>
    </w:div>
    <w:div w:id="208539755">
      <w:bodyDiv w:val="1"/>
      <w:marLeft w:val="0"/>
      <w:marRight w:val="0"/>
      <w:marTop w:val="0"/>
      <w:marBottom w:val="0"/>
      <w:divBdr>
        <w:top w:val="none" w:sz="0" w:space="0" w:color="auto"/>
        <w:left w:val="none" w:sz="0" w:space="0" w:color="auto"/>
        <w:bottom w:val="none" w:sz="0" w:space="0" w:color="auto"/>
        <w:right w:val="none" w:sz="0" w:space="0" w:color="auto"/>
      </w:divBdr>
      <w:divsChild>
        <w:div w:id="1420441906">
          <w:marLeft w:val="0"/>
          <w:marRight w:val="0"/>
          <w:marTop w:val="0"/>
          <w:marBottom w:val="0"/>
          <w:divBdr>
            <w:top w:val="none" w:sz="0" w:space="0" w:color="auto"/>
            <w:left w:val="none" w:sz="0" w:space="0" w:color="auto"/>
            <w:bottom w:val="none" w:sz="0" w:space="0" w:color="auto"/>
            <w:right w:val="none" w:sz="0" w:space="0" w:color="auto"/>
          </w:divBdr>
        </w:div>
        <w:div w:id="1160736122">
          <w:marLeft w:val="0"/>
          <w:marRight w:val="0"/>
          <w:marTop w:val="0"/>
          <w:marBottom w:val="0"/>
          <w:divBdr>
            <w:top w:val="none" w:sz="0" w:space="0" w:color="auto"/>
            <w:left w:val="none" w:sz="0" w:space="0" w:color="auto"/>
            <w:bottom w:val="none" w:sz="0" w:space="0" w:color="auto"/>
            <w:right w:val="none" w:sz="0" w:space="0" w:color="auto"/>
          </w:divBdr>
        </w:div>
      </w:divsChild>
    </w:div>
    <w:div w:id="319895762">
      <w:bodyDiv w:val="1"/>
      <w:marLeft w:val="0"/>
      <w:marRight w:val="0"/>
      <w:marTop w:val="0"/>
      <w:marBottom w:val="0"/>
      <w:divBdr>
        <w:top w:val="none" w:sz="0" w:space="0" w:color="auto"/>
        <w:left w:val="none" w:sz="0" w:space="0" w:color="auto"/>
        <w:bottom w:val="none" w:sz="0" w:space="0" w:color="auto"/>
        <w:right w:val="none" w:sz="0" w:space="0" w:color="auto"/>
      </w:divBdr>
      <w:divsChild>
        <w:div w:id="326981051">
          <w:marLeft w:val="0"/>
          <w:marRight w:val="0"/>
          <w:marTop w:val="0"/>
          <w:marBottom w:val="0"/>
          <w:divBdr>
            <w:top w:val="none" w:sz="0" w:space="0" w:color="auto"/>
            <w:left w:val="none" w:sz="0" w:space="0" w:color="auto"/>
            <w:bottom w:val="none" w:sz="0" w:space="0" w:color="auto"/>
            <w:right w:val="none" w:sz="0" w:space="0" w:color="auto"/>
          </w:divBdr>
        </w:div>
      </w:divsChild>
    </w:div>
    <w:div w:id="407074473">
      <w:bodyDiv w:val="1"/>
      <w:marLeft w:val="0"/>
      <w:marRight w:val="0"/>
      <w:marTop w:val="0"/>
      <w:marBottom w:val="0"/>
      <w:divBdr>
        <w:top w:val="none" w:sz="0" w:space="0" w:color="auto"/>
        <w:left w:val="none" w:sz="0" w:space="0" w:color="auto"/>
        <w:bottom w:val="none" w:sz="0" w:space="0" w:color="auto"/>
        <w:right w:val="none" w:sz="0" w:space="0" w:color="auto"/>
      </w:divBdr>
    </w:div>
    <w:div w:id="672533843">
      <w:bodyDiv w:val="1"/>
      <w:marLeft w:val="0"/>
      <w:marRight w:val="0"/>
      <w:marTop w:val="0"/>
      <w:marBottom w:val="0"/>
      <w:divBdr>
        <w:top w:val="none" w:sz="0" w:space="0" w:color="auto"/>
        <w:left w:val="none" w:sz="0" w:space="0" w:color="auto"/>
        <w:bottom w:val="none" w:sz="0" w:space="0" w:color="auto"/>
        <w:right w:val="none" w:sz="0" w:space="0" w:color="auto"/>
      </w:divBdr>
    </w:div>
    <w:div w:id="782505238">
      <w:bodyDiv w:val="1"/>
      <w:marLeft w:val="0"/>
      <w:marRight w:val="0"/>
      <w:marTop w:val="0"/>
      <w:marBottom w:val="0"/>
      <w:divBdr>
        <w:top w:val="none" w:sz="0" w:space="0" w:color="auto"/>
        <w:left w:val="none" w:sz="0" w:space="0" w:color="auto"/>
        <w:bottom w:val="none" w:sz="0" w:space="0" w:color="auto"/>
        <w:right w:val="none" w:sz="0" w:space="0" w:color="auto"/>
      </w:divBdr>
      <w:divsChild>
        <w:div w:id="1846895898">
          <w:marLeft w:val="0"/>
          <w:marRight w:val="0"/>
          <w:marTop w:val="0"/>
          <w:marBottom w:val="0"/>
          <w:divBdr>
            <w:top w:val="none" w:sz="0" w:space="0" w:color="auto"/>
            <w:left w:val="none" w:sz="0" w:space="0" w:color="auto"/>
            <w:bottom w:val="none" w:sz="0" w:space="0" w:color="auto"/>
            <w:right w:val="none" w:sz="0" w:space="0" w:color="auto"/>
          </w:divBdr>
        </w:div>
      </w:divsChild>
    </w:div>
    <w:div w:id="1107044835">
      <w:bodyDiv w:val="1"/>
      <w:marLeft w:val="0"/>
      <w:marRight w:val="0"/>
      <w:marTop w:val="0"/>
      <w:marBottom w:val="0"/>
      <w:divBdr>
        <w:top w:val="none" w:sz="0" w:space="0" w:color="auto"/>
        <w:left w:val="none" w:sz="0" w:space="0" w:color="auto"/>
        <w:bottom w:val="none" w:sz="0" w:space="0" w:color="auto"/>
        <w:right w:val="none" w:sz="0" w:space="0" w:color="auto"/>
      </w:divBdr>
    </w:div>
    <w:div w:id="1280649065">
      <w:bodyDiv w:val="1"/>
      <w:marLeft w:val="0"/>
      <w:marRight w:val="0"/>
      <w:marTop w:val="0"/>
      <w:marBottom w:val="0"/>
      <w:divBdr>
        <w:top w:val="none" w:sz="0" w:space="0" w:color="auto"/>
        <w:left w:val="none" w:sz="0" w:space="0" w:color="auto"/>
        <w:bottom w:val="none" w:sz="0" w:space="0" w:color="auto"/>
        <w:right w:val="none" w:sz="0" w:space="0" w:color="auto"/>
      </w:divBdr>
    </w:div>
    <w:div w:id="1300527270">
      <w:bodyDiv w:val="1"/>
      <w:marLeft w:val="0"/>
      <w:marRight w:val="0"/>
      <w:marTop w:val="0"/>
      <w:marBottom w:val="0"/>
      <w:divBdr>
        <w:top w:val="none" w:sz="0" w:space="0" w:color="auto"/>
        <w:left w:val="none" w:sz="0" w:space="0" w:color="auto"/>
        <w:bottom w:val="none" w:sz="0" w:space="0" w:color="auto"/>
        <w:right w:val="none" w:sz="0" w:space="0" w:color="auto"/>
      </w:divBdr>
    </w:div>
    <w:div w:id="1346979642">
      <w:bodyDiv w:val="1"/>
      <w:marLeft w:val="0"/>
      <w:marRight w:val="0"/>
      <w:marTop w:val="0"/>
      <w:marBottom w:val="0"/>
      <w:divBdr>
        <w:top w:val="none" w:sz="0" w:space="0" w:color="auto"/>
        <w:left w:val="none" w:sz="0" w:space="0" w:color="auto"/>
        <w:bottom w:val="none" w:sz="0" w:space="0" w:color="auto"/>
        <w:right w:val="none" w:sz="0" w:space="0" w:color="auto"/>
      </w:divBdr>
      <w:divsChild>
        <w:div w:id="672145453">
          <w:marLeft w:val="0"/>
          <w:marRight w:val="0"/>
          <w:marTop w:val="0"/>
          <w:marBottom w:val="0"/>
          <w:divBdr>
            <w:top w:val="none" w:sz="0" w:space="0" w:color="auto"/>
            <w:left w:val="none" w:sz="0" w:space="0" w:color="auto"/>
            <w:bottom w:val="none" w:sz="0" w:space="0" w:color="auto"/>
            <w:right w:val="none" w:sz="0" w:space="0" w:color="auto"/>
          </w:divBdr>
        </w:div>
        <w:div w:id="2134205319">
          <w:marLeft w:val="0"/>
          <w:marRight w:val="0"/>
          <w:marTop w:val="0"/>
          <w:marBottom w:val="0"/>
          <w:divBdr>
            <w:top w:val="none" w:sz="0" w:space="0" w:color="auto"/>
            <w:left w:val="none" w:sz="0" w:space="0" w:color="auto"/>
            <w:bottom w:val="none" w:sz="0" w:space="0" w:color="auto"/>
            <w:right w:val="none" w:sz="0" w:space="0" w:color="auto"/>
          </w:divBdr>
        </w:div>
      </w:divsChild>
    </w:div>
    <w:div w:id="1602567450">
      <w:bodyDiv w:val="1"/>
      <w:marLeft w:val="0"/>
      <w:marRight w:val="0"/>
      <w:marTop w:val="0"/>
      <w:marBottom w:val="0"/>
      <w:divBdr>
        <w:top w:val="none" w:sz="0" w:space="0" w:color="auto"/>
        <w:left w:val="none" w:sz="0" w:space="0" w:color="auto"/>
        <w:bottom w:val="none" w:sz="0" w:space="0" w:color="auto"/>
        <w:right w:val="none" w:sz="0" w:space="0" w:color="auto"/>
      </w:divBdr>
      <w:divsChild>
        <w:div w:id="43994196">
          <w:marLeft w:val="0"/>
          <w:marRight w:val="0"/>
          <w:marTop w:val="0"/>
          <w:marBottom w:val="0"/>
          <w:divBdr>
            <w:top w:val="none" w:sz="0" w:space="0" w:color="auto"/>
            <w:left w:val="none" w:sz="0" w:space="0" w:color="auto"/>
            <w:bottom w:val="none" w:sz="0" w:space="0" w:color="auto"/>
            <w:right w:val="none" w:sz="0" w:space="0" w:color="auto"/>
          </w:divBdr>
        </w:div>
      </w:divsChild>
    </w:div>
    <w:div w:id="1712152154">
      <w:bodyDiv w:val="1"/>
      <w:marLeft w:val="0"/>
      <w:marRight w:val="0"/>
      <w:marTop w:val="0"/>
      <w:marBottom w:val="0"/>
      <w:divBdr>
        <w:top w:val="none" w:sz="0" w:space="0" w:color="auto"/>
        <w:left w:val="none" w:sz="0" w:space="0" w:color="auto"/>
        <w:bottom w:val="none" w:sz="0" w:space="0" w:color="auto"/>
        <w:right w:val="none" w:sz="0" w:space="0" w:color="auto"/>
      </w:divBdr>
      <w:divsChild>
        <w:div w:id="877593137">
          <w:marLeft w:val="0"/>
          <w:marRight w:val="0"/>
          <w:marTop w:val="0"/>
          <w:marBottom w:val="0"/>
          <w:divBdr>
            <w:top w:val="none" w:sz="0" w:space="0" w:color="auto"/>
            <w:left w:val="none" w:sz="0" w:space="0" w:color="auto"/>
            <w:bottom w:val="none" w:sz="0" w:space="0" w:color="auto"/>
            <w:right w:val="none" w:sz="0" w:space="0" w:color="auto"/>
          </w:divBdr>
        </w:div>
        <w:div w:id="165558615">
          <w:marLeft w:val="0"/>
          <w:marRight w:val="0"/>
          <w:marTop w:val="0"/>
          <w:marBottom w:val="0"/>
          <w:divBdr>
            <w:top w:val="none" w:sz="0" w:space="0" w:color="auto"/>
            <w:left w:val="none" w:sz="0" w:space="0" w:color="auto"/>
            <w:bottom w:val="none" w:sz="0" w:space="0" w:color="auto"/>
            <w:right w:val="none" w:sz="0" w:space="0" w:color="auto"/>
          </w:divBdr>
        </w:div>
      </w:divsChild>
    </w:div>
    <w:div w:id="1965380486">
      <w:bodyDiv w:val="1"/>
      <w:marLeft w:val="0"/>
      <w:marRight w:val="0"/>
      <w:marTop w:val="0"/>
      <w:marBottom w:val="0"/>
      <w:divBdr>
        <w:top w:val="none" w:sz="0" w:space="0" w:color="auto"/>
        <w:left w:val="none" w:sz="0" w:space="0" w:color="auto"/>
        <w:bottom w:val="none" w:sz="0" w:space="0" w:color="auto"/>
        <w:right w:val="none" w:sz="0" w:space="0" w:color="auto"/>
      </w:divBdr>
    </w:div>
    <w:div w:id="198157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image" Target="media/image4.emf"/><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ED47D-988C-4DA4-8FB0-2FB0B03C1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3988</Words>
  <Characters>21537</Characters>
  <DocSecurity>0</DocSecurity>
  <Lines>179</Lines>
  <Paragraphs>50</Paragraphs>
  <ScaleCrop>false</ScaleCrop>
  <Company/>
  <LinksUpToDate>false</LinksUpToDate>
  <CharactersWithSpaces>25475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2019-01-15T11:37:00Z</dcterms:created>
  <dcterms:modified xsi:type="dcterms:W3CDTF">2019-01-22T16:39:00Z</dcterms:modified>
</cp:coreProperties>
</file>